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B75C" w14:textId="77777777" w:rsidR="00587F5F" w:rsidRDefault="00587F5F" w:rsidP="00395212">
      <w:pPr>
        <w:jc w:val="center"/>
        <w:rPr>
          <w:b/>
          <w:lang w:val="en-US"/>
        </w:rPr>
      </w:pPr>
    </w:p>
    <w:p w14:paraId="6E1D1D96" w14:textId="77777777" w:rsidR="00395212" w:rsidRPr="00AA4B5A" w:rsidRDefault="00395212" w:rsidP="00395212">
      <w:pPr>
        <w:jc w:val="center"/>
        <w:rPr>
          <w:b/>
          <w:lang w:val="en-US"/>
        </w:rPr>
      </w:pPr>
      <w:r w:rsidRPr="00AA4B5A">
        <w:rPr>
          <w:b/>
          <w:lang w:val="en-US"/>
        </w:rPr>
        <w:t>APPENDIX</w:t>
      </w:r>
    </w:p>
    <w:p w14:paraId="6E04E32C" w14:textId="77777777" w:rsidR="00395212" w:rsidRDefault="00395212" w:rsidP="00395212">
      <w:pPr>
        <w:jc w:val="both"/>
        <w:outlineLvl w:val="0"/>
        <w:rPr>
          <w:b/>
          <w:lang w:val="en-US"/>
        </w:rPr>
      </w:pPr>
    </w:p>
    <w:p w14:paraId="4C8C0D8A" w14:textId="77777777" w:rsidR="00587F5F" w:rsidRPr="00AA4B5A" w:rsidRDefault="00587F5F" w:rsidP="00395212">
      <w:pPr>
        <w:jc w:val="both"/>
        <w:outlineLvl w:val="0"/>
        <w:rPr>
          <w:b/>
          <w:lang w:val="en-US"/>
        </w:rPr>
      </w:pPr>
    </w:p>
    <w:p w14:paraId="33F03908" w14:textId="77777777" w:rsidR="00395212" w:rsidRPr="005D04EA" w:rsidRDefault="00395212" w:rsidP="00395212">
      <w:pPr>
        <w:jc w:val="both"/>
        <w:outlineLvl w:val="0"/>
        <w:rPr>
          <w:rFonts w:ascii="Arial" w:hAnsi="Arial" w:cs="Arial"/>
          <w:b/>
          <w:sz w:val="20"/>
          <w:szCs w:val="20"/>
          <w:lang w:val="en-US"/>
        </w:rPr>
      </w:pPr>
      <w:r w:rsidRPr="005D04EA">
        <w:rPr>
          <w:rFonts w:ascii="Arial" w:hAnsi="Arial" w:cs="Arial"/>
          <w:b/>
          <w:sz w:val="20"/>
          <w:szCs w:val="20"/>
          <w:lang w:val="en-US"/>
        </w:rPr>
        <w:t>Election procedure:</w:t>
      </w:r>
    </w:p>
    <w:p w14:paraId="21C8AFD7" w14:textId="77777777" w:rsidR="00F91618" w:rsidRPr="005D04EA" w:rsidRDefault="00F91618" w:rsidP="00395212">
      <w:pPr>
        <w:jc w:val="both"/>
        <w:outlineLvl w:val="0"/>
        <w:rPr>
          <w:rFonts w:ascii="Arial" w:hAnsi="Arial" w:cs="Arial"/>
          <w:b/>
          <w:sz w:val="20"/>
          <w:szCs w:val="20"/>
          <w:lang w:val="en-US"/>
        </w:rPr>
      </w:pPr>
    </w:p>
    <w:p w14:paraId="2B0E8CF8" w14:textId="77777777" w:rsidR="006106B7" w:rsidRDefault="00DB4797" w:rsidP="00BD5CC6">
      <w:pPr>
        <w:jc w:val="both"/>
        <w:rPr>
          <w:rStyle w:val="Emphasis"/>
          <w:rFonts w:ascii="Arial" w:hAnsi="Arial" w:cs="Arial"/>
          <w:i w:val="0"/>
          <w:sz w:val="20"/>
          <w:szCs w:val="20"/>
          <w:lang w:val="en-US"/>
        </w:rPr>
      </w:pPr>
      <w:r w:rsidRPr="005D04EA">
        <w:rPr>
          <w:rStyle w:val="Emphasis"/>
          <w:rFonts w:ascii="Arial" w:hAnsi="Arial" w:cs="Arial"/>
          <w:i w:val="0"/>
          <w:sz w:val="20"/>
          <w:szCs w:val="20"/>
          <w:lang w:val="en-US"/>
        </w:rPr>
        <w:t xml:space="preserve">According to </w:t>
      </w:r>
      <w:r w:rsidRPr="006106B7">
        <w:rPr>
          <w:rStyle w:val="Emphasis"/>
          <w:rFonts w:ascii="Arial" w:hAnsi="Arial" w:cs="Arial"/>
          <w:i w:val="0"/>
          <w:sz w:val="20"/>
          <w:szCs w:val="20"/>
          <w:u w:val="single"/>
          <w:lang w:val="en-US"/>
        </w:rPr>
        <w:t>Article 4</w:t>
      </w:r>
      <w:r w:rsidRPr="005D04EA">
        <w:rPr>
          <w:rStyle w:val="Emphasis"/>
          <w:rFonts w:ascii="Arial" w:hAnsi="Arial" w:cs="Arial"/>
          <w:i w:val="0"/>
          <w:sz w:val="20"/>
          <w:szCs w:val="20"/>
          <w:lang w:val="en-US"/>
        </w:rPr>
        <w:t xml:space="preserve"> </w:t>
      </w:r>
      <w:r w:rsidR="005D04EA">
        <w:rPr>
          <w:rStyle w:val="Emphasis"/>
          <w:rFonts w:ascii="Arial" w:hAnsi="Arial" w:cs="Arial"/>
          <w:i w:val="0"/>
          <w:sz w:val="20"/>
          <w:szCs w:val="20"/>
          <w:lang w:val="en-US"/>
        </w:rPr>
        <w:t xml:space="preserve">of the </w:t>
      </w:r>
      <w:hyperlink r:id="rId9" w:history="1">
        <w:r w:rsidR="005D04EA" w:rsidRPr="00F967D9">
          <w:rPr>
            <w:rStyle w:val="Hyperlink"/>
            <w:rFonts w:ascii="Arial" w:hAnsi="Arial" w:cs="Arial"/>
            <w:sz w:val="20"/>
            <w:szCs w:val="20"/>
            <w:lang w:val="en-US"/>
          </w:rPr>
          <w:t>European Convention for the prevention of torture and inhuman and degrading treatment</w:t>
        </w:r>
      </w:hyperlink>
      <w:r w:rsidR="005D04EA">
        <w:rPr>
          <w:rStyle w:val="Emphasis"/>
          <w:rFonts w:ascii="Arial" w:hAnsi="Arial" w:cs="Arial"/>
          <w:i w:val="0"/>
          <w:sz w:val="20"/>
          <w:szCs w:val="20"/>
          <w:lang w:val="en-US"/>
        </w:rPr>
        <w:t xml:space="preserve"> (</w:t>
      </w:r>
      <w:r w:rsidRPr="005D04EA">
        <w:rPr>
          <w:rStyle w:val="Emphasis"/>
          <w:rFonts w:ascii="Arial" w:hAnsi="Arial" w:cs="Arial"/>
          <w:i w:val="0"/>
          <w:sz w:val="20"/>
          <w:szCs w:val="20"/>
          <w:lang w:val="en-US"/>
        </w:rPr>
        <w:t>ECPT</w:t>
      </w:r>
      <w:r w:rsidR="005D04EA">
        <w:rPr>
          <w:rStyle w:val="Emphasis"/>
          <w:rFonts w:ascii="Arial" w:hAnsi="Arial" w:cs="Arial"/>
          <w:i w:val="0"/>
          <w:sz w:val="20"/>
          <w:szCs w:val="20"/>
          <w:lang w:val="en-US"/>
        </w:rPr>
        <w:t xml:space="preserve"> </w:t>
      </w:r>
      <w:r w:rsidR="006A69A5">
        <w:rPr>
          <w:rStyle w:val="Emphasis"/>
          <w:rFonts w:ascii="Arial" w:hAnsi="Arial" w:cs="Arial"/>
          <w:i w:val="0"/>
          <w:sz w:val="20"/>
          <w:szCs w:val="20"/>
          <w:lang w:val="en-US"/>
        </w:rPr>
        <w:t>[</w:t>
      </w:r>
      <w:r w:rsidR="005D04EA">
        <w:rPr>
          <w:rStyle w:val="Emphasis"/>
          <w:rFonts w:ascii="Arial" w:hAnsi="Arial" w:cs="Arial"/>
          <w:i w:val="0"/>
          <w:sz w:val="20"/>
          <w:szCs w:val="20"/>
          <w:lang w:val="en-US"/>
        </w:rPr>
        <w:t xml:space="preserve">ETS </w:t>
      </w:r>
      <w:r w:rsidR="006A69A5">
        <w:rPr>
          <w:rStyle w:val="Emphasis"/>
          <w:rFonts w:ascii="Arial" w:hAnsi="Arial" w:cs="Arial"/>
          <w:i w:val="0"/>
          <w:sz w:val="20"/>
          <w:szCs w:val="20"/>
          <w:lang w:val="en-US"/>
        </w:rPr>
        <w:t>no. 126</w:t>
      </w:r>
      <w:r w:rsidR="006A69A5">
        <w:rPr>
          <w:rStyle w:val="FootnoteReference"/>
          <w:rFonts w:ascii="Arial" w:hAnsi="Arial" w:cs="Arial"/>
          <w:iCs/>
          <w:sz w:val="20"/>
          <w:szCs w:val="20"/>
          <w:lang w:val="en-US"/>
        </w:rPr>
        <w:footnoteReference w:id="1"/>
      </w:r>
      <w:r w:rsidR="006A69A5">
        <w:rPr>
          <w:rStyle w:val="Emphasis"/>
          <w:rFonts w:ascii="Arial" w:hAnsi="Arial" w:cs="Arial"/>
          <w:i w:val="0"/>
          <w:sz w:val="20"/>
          <w:szCs w:val="20"/>
          <w:lang w:val="en-US"/>
        </w:rPr>
        <w:t>]</w:t>
      </w:r>
      <w:r w:rsidR="00E33C8E" w:rsidRPr="005D04EA">
        <w:rPr>
          <w:rStyle w:val="Emphasis"/>
          <w:rFonts w:ascii="Arial" w:hAnsi="Arial" w:cs="Arial"/>
          <w:i w:val="0"/>
          <w:sz w:val="20"/>
          <w:szCs w:val="20"/>
          <w:lang w:val="en-US"/>
        </w:rPr>
        <w:t xml:space="preserve">, the CPT shall consist of a number of members equal to that of the Parties.  </w:t>
      </w:r>
    </w:p>
    <w:p w14:paraId="6842D2F8" w14:textId="77777777" w:rsidR="006106B7" w:rsidRDefault="006106B7" w:rsidP="00BD5CC6">
      <w:pPr>
        <w:rPr>
          <w:rStyle w:val="Emphasis"/>
          <w:rFonts w:ascii="Arial" w:hAnsi="Arial" w:cs="Arial"/>
          <w:i w:val="0"/>
          <w:sz w:val="20"/>
          <w:szCs w:val="20"/>
          <w:lang w:val="en-US"/>
        </w:rPr>
      </w:pPr>
    </w:p>
    <w:p w14:paraId="66A45BDE" w14:textId="77777777" w:rsidR="00E33C8E" w:rsidRPr="005D04EA" w:rsidRDefault="00E33C8E" w:rsidP="00BD5CC6">
      <w:pPr>
        <w:jc w:val="both"/>
        <w:rPr>
          <w:rFonts w:ascii="Arial" w:hAnsi="Arial" w:cs="Arial"/>
          <w:spacing w:val="-2"/>
          <w:kern w:val="2"/>
          <w:sz w:val="20"/>
          <w:szCs w:val="20"/>
          <w:lang w:val="en-US"/>
        </w:rPr>
      </w:pPr>
      <w:r w:rsidRPr="006106B7">
        <w:rPr>
          <w:rStyle w:val="Emphasis"/>
          <w:rFonts w:ascii="Arial" w:hAnsi="Arial" w:cs="Arial"/>
          <w:i w:val="0"/>
          <w:sz w:val="20"/>
          <w:szCs w:val="20"/>
          <w:lang w:val="en-US"/>
        </w:rPr>
        <w:t>The members shall be chosen from among persons of high moral character, known for their competence in the field of human rights or having pro</w:t>
      </w:r>
      <w:r w:rsidRPr="006106B7">
        <w:rPr>
          <w:rStyle w:val="Emphasis"/>
          <w:rFonts w:ascii="Arial" w:hAnsi="Arial" w:cs="Arial"/>
          <w:i w:val="0"/>
          <w:sz w:val="20"/>
          <w:szCs w:val="20"/>
          <w:lang w:val="en-US"/>
        </w:rPr>
        <w:softHyphen/>
        <w:t xml:space="preserve">fessional experience in the areas covered by the Convention.  </w:t>
      </w:r>
      <w:r w:rsidRPr="005D04EA">
        <w:rPr>
          <w:rFonts w:ascii="Arial" w:hAnsi="Arial" w:cs="Arial"/>
          <w:spacing w:val="-2"/>
          <w:kern w:val="2"/>
          <w:sz w:val="20"/>
          <w:szCs w:val="20"/>
          <w:lang w:val="en-US"/>
        </w:rPr>
        <w:tab/>
      </w:r>
    </w:p>
    <w:p w14:paraId="4A654371" w14:textId="77777777" w:rsidR="00E33C8E" w:rsidRPr="005D04EA" w:rsidRDefault="00E33C8E" w:rsidP="00BD5CC6">
      <w:pPr>
        <w:rPr>
          <w:rFonts w:ascii="Arial" w:hAnsi="Arial" w:cs="Arial"/>
          <w:spacing w:val="-2"/>
          <w:kern w:val="2"/>
          <w:sz w:val="20"/>
          <w:szCs w:val="20"/>
          <w:lang w:val="en-US"/>
        </w:rPr>
      </w:pPr>
    </w:p>
    <w:p w14:paraId="29D92031" w14:textId="77777777" w:rsidR="00E33C8E" w:rsidRPr="005D04EA" w:rsidRDefault="00E33C8E" w:rsidP="00BD5CC6">
      <w:pPr>
        <w:rPr>
          <w:rFonts w:ascii="Arial" w:hAnsi="Arial" w:cs="Arial"/>
          <w:spacing w:val="-2"/>
          <w:kern w:val="2"/>
          <w:sz w:val="20"/>
          <w:szCs w:val="20"/>
          <w:lang w:val="en-US"/>
        </w:rPr>
      </w:pPr>
      <w:r w:rsidRPr="005D04EA">
        <w:rPr>
          <w:rFonts w:ascii="Arial" w:hAnsi="Arial" w:cs="Arial"/>
          <w:spacing w:val="-2"/>
          <w:kern w:val="2"/>
          <w:sz w:val="20"/>
          <w:szCs w:val="20"/>
          <w:lang w:val="en-US"/>
        </w:rPr>
        <w:t xml:space="preserve">No two members of the Committee may be nationals of the same State.  </w:t>
      </w:r>
    </w:p>
    <w:p w14:paraId="09B4BEFC" w14:textId="77777777" w:rsidR="00E33C8E" w:rsidRPr="005D04EA" w:rsidRDefault="00E33C8E" w:rsidP="00BD5CC6">
      <w:pPr>
        <w:tabs>
          <w:tab w:val="left" w:pos="-720"/>
          <w:tab w:val="left" w:pos="0"/>
          <w:tab w:val="left" w:pos="432"/>
          <w:tab w:val="left" w:pos="864"/>
          <w:tab w:val="left" w:pos="1296"/>
          <w:tab w:val="left" w:pos="1728"/>
          <w:tab w:val="left" w:pos="2160"/>
        </w:tabs>
        <w:suppressAutoHyphens/>
        <w:ind w:hanging="864"/>
        <w:jc w:val="both"/>
        <w:rPr>
          <w:rFonts w:ascii="Arial" w:hAnsi="Arial" w:cs="Arial"/>
          <w:spacing w:val="-2"/>
          <w:kern w:val="2"/>
          <w:sz w:val="20"/>
          <w:szCs w:val="20"/>
          <w:lang w:val="en-US"/>
        </w:rPr>
      </w:pPr>
    </w:p>
    <w:p w14:paraId="760F9273" w14:textId="77777777" w:rsidR="00E33C8E" w:rsidRPr="005D04EA" w:rsidRDefault="00E33C8E" w:rsidP="00BD5CC6">
      <w:pPr>
        <w:jc w:val="both"/>
        <w:rPr>
          <w:rFonts w:ascii="Arial" w:hAnsi="Arial" w:cs="Arial"/>
          <w:sz w:val="20"/>
          <w:szCs w:val="20"/>
          <w:lang w:val="en-US"/>
        </w:rPr>
      </w:pPr>
      <w:r w:rsidRPr="005D04EA">
        <w:rPr>
          <w:rFonts w:ascii="Arial" w:hAnsi="Arial" w:cs="Arial"/>
          <w:sz w:val="20"/>
          <w:szCs w:val="20"/>
          <w:lang w:val="en-US"/>
        </w:rPr>
        <w:t>The members shall serve in their individual capacity, shall be indepen</w:t>
      </w:r>
      <w:r w:rsidRPr="005D04EA">
        <w:rPr>
          <w:rFonts w:ascii="Arial" w:hAnsi="Arial" w:cs="Arial"/>
          <w:sz w:val="20"/>
          <w:szCs w:val="20"/>
          <w:lang w:val="en-US"/>
        </w:rPr>
        <w:softHyphen/>
        <w:t>dent and impartial, and shall be available to serve the Committee effectively.</w:t>
      </w:r>
    </w:p>
    <w:p w14:paraId="4E723BDD" w14:textId="77777777" w:rsidR="00DB4797" w:rsidRPr="005D04EA" w:rsidRDefault="00DB4797" w:rsidP="00BD5CC6">
      <w:pPr>
        <w:jc w:val="both"/>
        <w:outlineLvl w:val="0"/>
        <w:rPr>
          <w:rFonts w:ascii="Arial" w:hAnsi="Arial" w:cs="Arial"/>
          <w:sz w:val="20"/>
          <w:szCs w:val="20"/>
          <w:lang w:val="en-US"/>
        </w:rPr>
      </w:pPr>
    </w:p>
    <w:p w14:paraId="0F6F7151" w14:textId="77777777" w:rsidR="00C8226E" w:rsidRPr="005D04EA" w:rsidRDefault="00C8226E" w:rsidP="00BD5CC6">
      <w:pPr>
        <w:jc w:val="both"/>
        <w:outlineLvl w:val="0"/>
        <w:rPr>
          <w:rFonts w:ascii="Arial" w:hAnsi="Arial" w:cs="Arial"/>
          <w:spacing w:val="-2"/>
          <w:kern w:val="2"/>
          <w:sz w:val="20"/>
          <w:szCs w:val="20"/>
          <w:lang w:val="en-US"/>
        </w:rPr>
      </w:pPr>
      <w:r w:rsidRPr="005D04EA">
        <w:rPr>
          <w:rFonts w:ascii="Arial" w:hAnsi="Arial" w:cs="Arial"/>
          <w:sz w:val="20"/>
          <w:szCs w:val="20"/>
          <w:lang w:val="en-US"/>
        </w:rPr>
        <w:t xml:space="preserve">According to </w:t>
      </w:r>
      <w:r w:rsidRPr="006106B7">
        <w:rPr>
          <w:rFonts w:ascii="Arial" w:hAnsi="Arial" w:cs="Arial"/>
          <w:sz w:val="20"/>
          <w:szCs w:val="20"/>
          <w:u w:val="single"/>
          <w:lang w:val="en-US"/>
        </w:rPr>
        <w:t>Article 5</w:t>
      </w:r>
      <w:r w:rsidRPr="005D04EA">
        <w:rPr>
          <w:rFonts w:ascii="Arial" w:hAnsi="Arial" w:cs="Arial"/>
          <w:sz w:val="20"/>
          <w:szCs w:val="20"/>
          <w:lang w:val="en-US"/>
        </w:rPr>
        <w:t xml:space="preserve"> ECPT</w:t>
      </w:r>
      <w:r w:rsidR="00DB4797" w:rsidRPr="005D04EA">
        <w:rPr>
          <w:rFonts w:ascii="Arial" w:hAnsi="Arial" w:cs="Arial"/>
          <w:sz w:val="20"/>
          <w:szCs w:val="20"/>
          <w:lang w:val="en-US"/>
        </w:rPr>
        <w:t>, t</w:t>
      </w:r>
      <w:r w:rsidRPr="005D04EA">
        <w:rPr>
          <w:rFonts w:ascii="Arial" w:hAnsi="Arial" w:cs="Arial"/>
          <w:spacing w:val="-2"/>
          <w:kern w:val="2"/>
          <w:sz w:val="20"/>
          <w:szCs w:val="20"/>
          <w:lang w:val="en-US"/>
        </w:rPr>
        <w:t xml:space="preserve">he members of the Committee shall be elected by the Committee of Ministers of the Council of Europe by an absolute majority of votes, from a list of names drawn up by the Bureau of the </w:t>
      </w:r>
      <w:r w:rsidR="00DB4797" w:rsidRPr="005D04EA">
        <w:rPr>
          <w:rFonts w:ascii="Arial" w:hAnsi="Arial" w:cs="Arial"/>
          <w:spacing w:val="-2"/>
          <w:kern w:val="2"/>
          <w:sz w:val="20"/>
          <w:szCs w:val="20"/>
          <w:lang w:val="en-US"/>
        </w:rPr>
        <w:t>Parliamentary</w:t>
      </w:r>
      <w:r w:rsidRPr="005D04EA">
        <w:rPr>
          <w:rFonts w:ascii="Arial" w:hAnsi="Arial" w:cs="Arial"/>
          <w:spacing w:val="-2"/>
          <w:kern w:val="2"/>
          <w:sz w:val="20"/>
          <w:szCs w:val="20"/>
          <w:lang w:val="en-US"/>
        </w:rPr>
        <w:t xml:space="preserve"> Assembly of the Council of Europe; each national delegation of the Parties in the Assembly shall put forward three candidates, of whom two at least shall be its nationals. </w:t>
      </w:r>
    </w:p>
    <w:p w14:paraId="415AF6B5" w14:textId="77777777" w:rsidR="00DB4797" w:rsidRPr="005D04EA" w:rsidRDefault="00DB4797" w:rsidP="00BD5CC6">
      <w:pPr>
        <w:tabs>
          <w:tab w:val="left" w:pos="-1440"/>
          <w:tab w:val="left" w:pos="-864"/>
          <w:tab w:val="left" w:pos="-432"/>
          <w:tab w:val="left" w:pos="0"/>
          <w:tab w:val="left" w:pos="432"/>
          <w:tab w:val="left" w:pos="864"/>
          <w:tab w:val="left" w:pos="1296"/>
          <w:tab w:val="left" w:pos="1728"/>
          <w:tab w:val="left" w:pos="2160"/>
        </w:tabs>
        <w:suppressAutoHyphens/>
        <w:ind w:hanging="862"/>
        <w:jc w:val="both"/>
        <w:rPr>
          <w:rFonts w:ascii="Arial" w:hAnsi="Arial" w:cs="Arial"/>
          <w:spacing w:val="-2"/>
          <w:kern w:val="2"/>
          <w:sz w:val="20"/>
          <w:szCs w:val="20"/>
          <w:lang w:val="en-US"/>
        </w:rPr>
      </w:pPr>
    </w:p>
    <w:p w14:paraId="59B76621" w14:textId="77777777" w:rsidR="00F91618" w:rsidRPr="005D04EA" w:rsidRDefault="00C8226E" w:rsidP="00BD5CC6">
      <w:pPr>
        <w:jc w:val="both"/>
        <w:outlineLvl w:val="0"/>
        <w:rPr>
          <w:rFonts w:ascii="Arial" w:hAnsi="Arial" w:cs="Arial"/>
          <w:spacing w:val="-2"/>
          <w:sz w:val="20"/>
          <w:szCs w:val="20"/>
          <w:lang w:val="en-US"/>
        </w:rPr>
      </w:pPr>
      <w:r w:rsidRPr="005D04EA">
        <w:rPr>
          <w:rFonts w:ascii="Arial" w:hAnsi="Arial" w:cs="Arial"/>
          <w:spacing w:val="-2"/>
          <w:kern w:val="2"/>
          <w:sz w:val="20"/>
          <w:szCs w:val="20"/>
          <w:lang w:val="en-US"/>
        </w:rPr>
        <w:t xml:space="preserve">The members of the Committee shall be elected for a period of four years. </w:t>
      </w:r>
      <w:r w:rsidRPr="005D04EA">
        <w:rPr>
          <w:rFonts w:ascii="Arial" w:hAnsi="Arial" w:cs="Arial"/>
          <w:spacing w:val="-2"/>
          <w:sz w:val="20"/>
          <w:szCs w:val="20"/>
          <w:lang w:val="en-US"/>
        </w:rPr>
        <w:t>They may be re-elected twice.</w:t>
      </w:r>
    </w:p>
    <w:p w14:paraId="6BD5DACD" w14:textId="77777777" w:rsidR="00E33C8E" w:rsidRDefault="00E33C8E" w:rsidP="00BD5CC6">
      <w:pPr>
        <w:jc w:val="both"/>
        <w:outlineLvl w:val="0"/>
        <w:rPr>
          <w:rFonts w:ascii="Arial" w:hAnsi="Arial" w:cs="Arial"/>
          <w:spacing w:val="-2"/>
          <w:sz w:val="20"/>
          <w:szCs w:val="20"/>
          <w:lang w:val="en-US"/>
        </w:rPr>
      </w:pPr>
    </w:p>
    <w:p w14:paraId="0637CA03" w14:textId="77777777" w:rsidR="009A56E9" w:rsidRPr="009A56E9" w:rsidRDefault="009A56E9" w:rsidP="00BD5CC6">
      <w:pPr>
        <w:jc w:val="both"/>
        <w:outlineLvl w:val="0"/>
        <w:rPr>
          <w:rFonts w:ascii="Arial" w:hAnsi="Arial" w:cs="Arial"/>
          <w:spacing w:val="-2"/>
          <w:sz w:val="20"/>
          <w:szCs w:val="20"/>
          <w:lang w:val="en-US"/>
        </w:rPr>
      </w:pPr>
      <w:r w:rsidRPr="009A56E9">
        <w:rPr>
          <w:rFonts w:ascii="Arial" w:hAnsi="Arial" w:cs="Arial"/>
          <w:sz w:val="20"/>
          <w:szCs w:val="20"/>
          <w:lang w:val="en"/>
        </w:rPr>
        <w:t xml:space="preserve">The Assembly's requirements with regard to the fairness and transparency of the national procedure for the selection of candidates and the standards applicable to candidates are laid down in </w:t>
      </w:r>
      <w:hyperlink r:id="rId10" w:history="1">
        <w:r>
          <w:rPr>
            <w:rStyle w:val="Hyperlink"/>
            <w:rFonts w:ascii="Arial" w:hAnsi="Arial" w:cs="Arial"/>
            <w:sz w:val="20"/>
            <w:szCs w:val="20"/>
            <w:lang w:val="en"/>
          </w:rPr>
          <w:t>Resolutions 1248 (2001)</w:t>
        </w:r>
      </w:hyperlink>
      <w:r w:rsidRPr="009A56E9">
        <w:rPr>
          <w:rFonts w:ascii="Arial" w:hAnsi="Arial" w:cs="Arial"/>
          <w:sz w:val="20"/>
          <w:szCs w:val="20"/>
          <w:lang w:val="en"/>
        </w:rPr>
        <w:t xml:space="preserve">, </w:t>
      </w:r>
      <w:hyperlink r:id="rId11" w:history="1">
        <w:r w:rsidRPr="00583D27">
          <w:rPr>
            <w:rStyle w:val="Hyperlink"/>
            <w:rFonts w:ascii="Arial" w:hAnsi="Arial" w:cs="Arial"/>
            <w:sz w:val="20"/>
            <w:szCs w:val="20"/>
            <w:lang w:val="en"/>
          </w:rPr>
          <w:t>1540 (2007)</w:t>
        </w:r>
      </w:hyperlink>
      <w:r w:rsidRPr="009A56E9">
        <w:rPr>
          <w:rFonts w:ascii="Arial" w:hAnsi="Arial" w:cs="Arial"/>
          <w:sz w:val="20"/>
          <w:szCs w:val="20"/>
          <w:lang w:val="en"/>
        </w:rPr>
        <w:t xml:space="preserve"> and </w:t>
      </w:r>
      <w:hyperlink r:id="rId12" w:history="1">
        <w:r w:rsidRPr="00583D27">
          <w:rPr>
            <w:rStyle w:val="Hyperlink"/>
            <w:rFonts w:ascii="Arial" w:hAnsi="Arial" w:cs="Arial"/>
            <w:sz w:val="20"/>
            <w:szCs w:val="20"/>
            <w:lang w:val="en"/>
          </w:rPr>
          <w:t>2160 (2017)</w:t>
        </w:r>
      </w:hyperlink>
      <w:r w:rsidR="00583D27">
        <w:rPr>
          <w:rFonts w:ascii="Arial" w:hAnsi="Arial" w:cs="Arial"/>
          <w:sz w:val="20"/>
          <w:szCs w:val="20"/>
          <w:lang w:val="en"/>
        </w:rPr>
        <w:t>.</w:t>
      </w:r>
    </w:p>
    <w:p w14:paraId="254D78FC" w14:textId="77777777" w:rsidR="009A56E9" w:rsidRPr="005D04EA" w:rsidRDefault="009A56E9" w:rsidP="00BD5CC6">
      <w:pPr>
        <w:jc w:val="both"/>
        <w:outlineLvl w:val="0"/>
        <w:rPr>
          <w:rFonts w:ascii="Arial" w:hAnsi="Arial" w:cs="Arial"/>
          <w:spacing w:val="-2"/>
          <w:sz w:val="20"/>
          <w:szCs w:val="20"/>
          <w:lang w:val="en-US"/>
        </w:rPr>
      </w:pPr>
    </w:p>
    <w:p w14:paraId="28270F40" w14:textId="77777777" w:rsidR="00E33C8E" w:rsidRPr="005D04EA" w:rsidRDefault="00E33C8E" w:rsidP="00BD5CC6">
      <w:pPr>
        <w:jc w:val="both"/>
        <w:outlineLvl w:val="0"/>
        <w:rPr>
          <w:rFonts w:ascii="Arial" w:hAnsi="Arial" w:cs="Arial"/>
          <w:spacing w:val="-2"/>
          <w:sz w:val="20"/>
          <w:szCs w:val="20"/>
          <w:lang w:val="en-US"/>
        </w:rPr>
      </w:pPr>
      <w:r w:rsidRPr="005D04EA">
        <w:rPr>
          <w:rFonts w:ascii="Arial" w:hAnsi="Arial" w:cs="Arial"/>
          <w:spacing w:val="-2"/>
          <w:sz w:val="20"/>
          <w:szCs w:val="20"/>
          <w:lang w:val="en-US"/>
        </w:rPr>
        <w:t xml:space="preserve">According to </w:t>
      </w:r>
      <w:hyperlink r:id="rId13" w:history="1">
        <w:r w:rsidRPr="00943922">
          <w:rPr>
            <w:rStyle w:val="Hyperlink"/>
            <w:rFonts w:ascii="Arial" w:hAnsi="Arial" w:cs="Arial"/>
            <w:spacing w:val="-2"/>
            <w:sz w:val="20"/>
            <w:szCs w:val="20"/>
            <w:lang w:val="en-US"/>
          </w:rPr>
          <w:t>Resolution</w:t>
        </w:r>
        <w:r w:rsidR="000A6FB9" w:rsidRPr="00943922">
          <w:rPr>
            <w:rStyle w:val="Hyperlink"/>
            <w:rFonts w:ascii="Arial" w:hAnsi="Arial" w:cs="Arial"/>
            <w:spacing w:val="-2"/>
            <w:sz w:val="20"/>
            <w:szCs w:val="20"/>
            <w:lang w:val="en-US"/>
          </w:rPr>
          <w:t>s</w:t>
        </w:r>
        <w:r w:rsidRPr="00943922">
          <w:rPr>
            <w:rStyle w:val="Hyperlink"/>
            <w:rFonts w:ascii="Arial" w:hAnsi="Arial" w:cs="Arial"/>
            <w:spacing w:val="-2"/>
            <w:sz w:val="20"/>
            <w:szCs w:val="20"/>
            <w:lang w:val="en-US"/>
          </w:rPr>
          <w:t xml:space="preserve"> 1248 (2001)</w:t>
        </w:r>
      </w:hyperlink>
      <w:r w:rsidR="00527A6D">
        <w:rPr>
          <w:rStyle w:val="Hyperlink"/>
          <w:rFonts w:ascii="Arial" w:hAnsi="Arial" w:cs="Arial"/>
          <w:spacing w:val="-2"/>
          <w:sz w:val="20"/>
          <w:szCs w:val="20"/>
          <w:lang w:val="en-US"/>
        </w:rPr>
        <w:t>,</w:t>
      </w:r>
      <w:r w:rsidR="005D04EA" w:rsidRPr="000A6FB9">
        <w:rPr>
          <w:rFonts w:ascii="Arial" w:hAnsi="Arial" w:cs="Arial"/>
          <w:spacing w:val="-2"/>
          <w:sz w:val="20"/>
          <w:szCs w:val="20"/>
          <w:lang w:val="en-US"/>
        </w:rPr>
        <w:t xml:space="preserve"> </w:t>
      </w:r>
      <w:hyperlink r:id="rId14" w:history="1">
        <w:r w:rsidR="000A6FB9" w:rsidRPr="00943922">
          <w:rPr>
            <w:rStyle w:val="Hyperlink"/>
            <w:rFonts w:ascii="Arial" w:hAnsi="Arial" w:cs="Arial"/>
            <w:spacing w:val="-2"/>
            <w:sz w:val="20"/>
            <w:szCs w:val="20"/>
            <w:lang w:val="en-US"/>
          </w:rPr>
          <w:t>1540 (200</w:t>
        </w:r>
        <w:r w:rsidR="004031C5">
          <w:rPr>
            <w:rStyle w:val="Hyperlink"/>
            <w:rFonts w:ascii="Arial" w:hAnsi="Arial" w:cs="Arial"/>
            <w:spacing w:val="-2"/>
            <w:sz w:val="20"/>
            <w:szCs w:val="20"/>
            <w:lang w:val="en-US"/>
          </w:rPr>
          <w:t>7</w:t>
        </w:r>
        <w:r w:rsidR="000A6FB9" w:rsidRPr="00943922">
          <w:rPr>
            <w:rStyle w:val="Hyperlink"/>
            <w:rFonts w:ascii="Arial" w:hAnsi="Arial" w:cs="Arial"/>
            <w:spacing w:val="-2"/>
            <w:sz w:val="20"/>
            <w:szCs w:val="20"/>
            <w:lang w:val="en-US"/>
          </w:rPr>
          <w:t>)</w:t>
        </w:r>
      </w:hyperlink>
      <w:r w:rsidR="00527A6D">
        <w:rPr>
          <w:rStyle w:val="Hyperlink"/>
          <w:rFonts w:ascii="Arial" w:hAnsi="Arial" w:cs="Arial"/>
          <w:spacing w:val="-2"/>
          <w:sz w:val="20"/>
          <w:szCs w:val="20"/>
          <w:lang w:val="en-US"/>
        </w:rPr>
        <w:t xml:space="preserve"> </w:t>
      </w:r>
      <w:r w:rsidR="00527A6D" w:rsidRPr="000A6FB9">
        <w:rPr>
          <w:rFonts w:ascii="Arial" w:hAnsi="Arial" w:cs="Arial"/>
          <w:spacing w:val="-2"/>
          <w:sz w:val="20"/>
          <w:szCs w:val="20"/>
          <w:lang w:val="en-US"/>
        </w:rPr>
        <w:t>and</w:t>
      </w:r>
      <w:r w:rsidR="00527A6D">
        <w:rPr>
          <w:rFonts w:ascii="Arial" w:hAnsi="Arial" w:cs="Arial"/>
          <w:spacing w:val="-2"/>
          <w:sz w:val="20"/>
          <w:szCs w:val="20"/>
          <w:lang w:val="en-US"/>
        </w:rPr>
        <w:t xml:space="preserve"> </w:t>
      </w:r>
      <w:hyperlink r:id="rId15" w:history="1">
        <w:r w:rsidR="00527A6D" w:rsidRPr="00C04FB6">
          <w:rPr>
            <w:rStyle w:val="Hyperlink"/>
            <w:rFonts w:ascii="Arial" w:hAnsi="Arial" w:cs="Arial"/>
            <w:spacing w:val="-2"/>
            <w:sz w:val="20"/>
            <w:szCs w:val="20"/>
            <w:lang w:val="en-US"/>
          </w:rPr>
          <w:t>2160</w:t>
        </w:r>
        <w:r w:rsidR="00C04FB6">
          <w:rPr>
            <w:rStyle w:val="Hyperlink"/>
            <w:rFonts w:ascii="Arial" w:hAnsi="Arial" w:cs="Arial"/>
            <w:spacing w:val="-2"/>
            <w:sz w:val="20"/>
            <w:szCs w:val="20"/>
            <w:lang w:val="en-US"/>
          </w:rPr>
          <w:t xml:space="preserve"> </w:t>
        </w:r>
        <w:r w:rsidR="00527A6D" w:rsidRPr="00C04FB6">
          <w:rPr>
            <w:rStyle w:val="Hyperlink"/>
            <w:rFonts w:ascii="Arial" w:hAnsi="Arial" w:cs="Arial"/>
            <w:spacing w:val="-2"/>
            <w:sz w:val="20"/>
            <w:szCs w:val="20"/>
            <w:lang w:val="en-US"/>
          </w:rPr>
          <w:t>(2017)</w:t>
        </w:r>
      </w:hyperlink>
      <w:r w:rsidRPr="005D04EA">
        <w:rPr>
          <w:rFonts w:ascii="Arial" w:hAnsi="Arial" w:cs="Arial"/>
          <w:spacing w:val="-2"/>
          <w:sz w:val="20"/>
          <w:szCs w:val="20"/>
          <w:lang w:val="en-US"/>
        </w:rPr>
        <w:t>, the lists of candidates will be examined by the Sub-Committee on Human Rights of the Committee on Legal Affairs and Human Rights, which will draw up a recommendation to the Assembly’s Bureau listing candidates in order of preference</w:t>
      </w:r>
      <w:r w:rsidR="005D04EA" w:rsidRPr="005D04EA">
        <w:rPr>
          <w:rFonts w:ascii="Arial" w:hAnsi="Arial" w:cs="Arial"/>
          <w:spacing w:val="-2"/>
          <w:sz w:val="20"/>
          <w:szCs w:val="20"/>
          <w:lang w:val="en-US"/>
        </w:rPr>
        <w:t xml:space="preserve"> or possibly recommend that the Bureau request a new li</w:t>
      </w:r>
      <w:r w:rsidR="000A6FB9">
        <w:rPr>
          <w:rFonts w:ascii="Arial" w:hAnsi="Arial" w:cs="Arial"/>
          <w:spacing w:val="-2"/>
          <w:sz w:val="20"/>
          <w:szCs w:val="20"/>
          <w:lang w:val="en-US"/>
        </w:rPr>
        <w:t xml:space="preserve">st to be submitted to it if the relevant </w:t>
      </w:r>
      <w:r w:rsidR="005D04EA" w:rsidRPr="005D04EA">
        <w:rPr>
          <w:rFonts w:ascii="Arial" w:hAnsi="Arial" w:cs="Arial"/>
          <w:spacing w:val="-2"/>
          <w:sz w:val="20"/>
          <w:szCs w:val="20"/>
          <w:lang w:val="en-US"/>
        </w:rPr>
        <w:t xml:space="preserve">criteria have not been met. </w:t>
      </w:r>
    </w:p>
    <w:p w14:paraId="7D80CA76" w14:textId="77777777" w:rsidR="00C8226E" w:rsidRPr="006B25E8" w:rsidRDefault="00C8226E" w:rsidP="00C8226E">
      <w:pPr>
        <w:jc w:val="both"/>
        <w:outlineLvl w:val="0"/>
        <w:rPr>
          <w:b/>
          <w:lang w:val="en-US"/>
        </w:rPr>
      </w:pPr>
    </w:p>
    <w:p w14:paraId="50E40442" w14:textId="77777777" w:rsidR="00395212" w:rsidRPr="006B25E8" w:rsidRDefault="00395212" w:rsidP="00395212">
      <w:pPr>
        <w:jc w:val="both"/>
        <w:rPr>
          <w:lang w:val="en-US"/>
        </w:rPr>
      </w:pPr>
    </w:p>
    <w:p w14:paraId="56842753" w14:textId="77777777" w:rsidR="00395212" w:rsidRPr="00C8226E" w:rsidRDefault="00395212" w:rsidP="00395212">
      <w:pPr>
        <w:jc w:val="center"/>
        <w:rPr>
          <w:lang w:val="en-US"/>
        </w:rPr>
      </w:pPr>
      <w:r w:rsidRPr="00C8226E">
        <w:rPr>
          <w:lang w:val="en-US"/>
        </w:rPr>
        <w:t>*****</w:t>
      </w:r>
    </w:p>
    <w:p w14:paraId="26E582B5" w14:textId="77777777" w:rsidR="00587F5F" w:rsidRDefault="00587F5F" w:rsidP="00395212">
      <w:pPr>
        <w:pStyle w:val="NormalWeb"/>
        <w:spacing w:before="0" w:beforeAutospacing="0" w:after="0" w:afterAutospacing="0"/>
        <w:jc w:val="both"/>
        <w:rPr>
          <w:rFonts w:ascii="Arial" w:hAnsi="Arial" w:cs="Arial"/>
          <w:b/>
          <w:sz w:val="20"/>
          <w:szCs w:val="20"/>
          <w:lang w:val="en-GB"/>
        </w:rPr>
      </w:pPr>
    </w:p>
    <w:p w14:paraId="4DD40E47" w14:textId="77777777" w:rsidR="00587F5F" w:rsidRDefault="00587F5F" w:rsidP="00395212">
      <w:pPr>
        <w:pStyle w:val="NormalWeb"/>
        <w:spacing w:before="0" w:beforeAutospacing="0" w:after="0" w:afterAutospacing="0"/>
        <w:jc w:val="both"/>
        <w:rPr>
          <w:rFonts w:ascii="Arial" w:hAnsi="Arial" w:cs="Arial"/>
          <w:b/>
          <w:sz w:val="20"/>
          <w:szCs w:val="20"/>
          <w:lang w:val="en-GB"/>
        </w:rPr>
      </w:pPr>
    </w:p>
    <w:p w14:paraId="5B34A04B" w14:textId="77777777" w:rsidR="00395212" w:rsidRPr="00024D78" w:rsidRDefault="00024D78" w:rsidP="00395212">
      <w:pPr>
        <w:pStyle w:val="NormalWeb"/>
        <w:spacing w:before="0" w:beforeAutospacing="0" w:after="0" w:afterAutospacing="0"/>
        <w:jc w:val="both"/>
        <w:rPr>
          <w:rFonts w:ascii="Arial" w:hAnsi="Arial" w:cs="Arial"/>
          <w:sz w:val="20"/>
          <w:szCs w:val="20"/>
          <w:lang w:val="en-GB"/>
        </w:rPr>
      </w:pPr>
      <w:r>
        <w:rPr>
          <w:rFonts w:ascii="Arial" w:hAnsi="Arial" w:cs="Arial"/>
          <w:b/>
          <w:sz w:val="20"/>
          <w:szCs w:val="20"/>
          <w:lang w:val="en-GB"/>
        </w:rPr>
        <w:t>R</w:t>
      </w:r>
      <w:r w:rsidR="00395212" w:rsidRPr="00AA4B5A">
        <w:rPr>
          <w:rFonts w:ascii="Arial" w:hAnsi="Arial" w:cs="Arial"/>
          <w:b/>
          <w:sz w:val="20"/>
          <w:szCs w:val="20"/>
          <w:lang w:val="en-GB"/>
        </w:rPr>
        <w:t>elevant texts:</w:t>
      </w:r>
      <w:r>
        <w:rPr>
          <w:rFonts w:ascii="Arial" w:hAnsi="Arial" w:cs="Arial"/>
          <w:b/>
          <w:sz w:val="20"/>
          <w:szCs w:val="20"/>
          <w:lang w:val="en-GB"/>
        </w:rPr>
        <w:t xml:space="preserve"> </w:t>
      </w:r>
    </w:p>
    <w:p w14:paraId="0CF649AC" w14:textId="77777777" w:rsidR="006A69A5" w:rsidRDefault="006A69A5" w:rsidP="00395212">
      <w:pPr>
        <w:pStyle w:val="NormalWeb"/>
        <w:spacing w:before="0" w:beforeAutospacing="0" w:after="0" w:afterAutospacing="0"/>
        <w:jc w:val="both"/>
        <w:rPr>
          <w:rFonts w:ascii="Arial" w:hAnsi="Arial" w:cs="Arial"/>
          <w:b/>
          <w:sz w:val="20"/>
          <w:szCs w:val="20"/>
          <w:lang w:val="en-GB"/>
        </w:rPr>
      </w:pPr>
    </w:p>
    <w:p w14:paraId="5F74F897" w14:textId="77777777" w:rsidR="006A69A5" w:rsidRPr="00BD5CC6" w:rsidRDefault="0056752F" w:rsidP="00643D71">
      <w:pPr>
        <w:jc w:val="both"/>
        <w:rPr>
          <w:rFonts w:ascii="Arial" w:hAnsi="Arial" w:cs="Arial"/>
          <w:sz w:val="20"/>
          <w:szCs w:val="20"/>
          <w:lang w:val="en-US"/>
        </w:rPr>
      </w:pPr>
      <w:hyperlink r:id="rId16" w:history="1">
        <w:r w:rsidR="00F967D9" w:rsidRPr="00F967D9">
          <w:rPr>
            <w:rStyle w:val="Hyperlink"/>
            <w:rFonts w:ascii="Arial" w:hAnsi="Arial" w:cs="Arial"/>
            <w:sz w:val="20"/>
            <w:szCs w:val="20"/>
            <w:lang w:val="en-US"/>
          </w:rPr>
          <w:t>European Convention for the prevention of torture and inhuman and degrading treatment</w:t>
        </w:r>
      </w:hyperlink>
      <w:r w:rsidR="00F967D9">
        <w:rPr>
          <w:rFonts w:ascii="Arial" w:hAnsi="Arial" w:cs="Arial"/>
          <w:sz w:val="20"/>
          <w:szCs w:val="20"/>
          <w:lang w:val="en-US"/>
        </w:rPr>
        <w:t xml:space="preserve"> (cf. </w:t>
      </w:r>
      <w:r w:rsidR="00024D78" w:rsidRPr="00BD5CC6">
        <w:rPr>
          <w:rFonts w:ascii="Arial" w:hAnsi="Arial" w:cs="Arial"/>
          <w:sz w:val="20"/>
          <w:szCs w:val="20"/>
          <w:lang w:val="en-US"/>
        </w:rPr>
        <w:t>Articles 4 and 5</w:t>
      </w:r>
      <w:r w:rsidR="00F967D9">
        <w:rPr>
          <w:rFonts w:ascii="Arial" w:hAnsi="Arial" w:cs="Arial"/>
          <w:sz w:val="20"/>
          <w:szCs w:val="20"/>
          <w:lang w:val="en-US"/>
        </w:rPr>
        <w:t>)</w:t>
      </w:r>
      <w:r w:rsidR="001B62FC">
        <w:rPr>
          <w:rFonts w:ascii="Arial" w:hAnsi="Arial" w:cs="Arial"/>
          <w:sz w:val="20"/>
          <w:szCs w:val="20"/>
          <w:lang w:val="en-US"/>
        </w:rPr>
        <w:t>;</w:t>
      </w:r>
    </w:p>
    <w:p w14:paraId="2571A009" w14:textId="77777777" w:rsidR="006106B7" w:rsidRPr="006106B7" w:rsidRDefault="0056752F" w:rsidP="00BD5CC6">
      <w:pPr>
        <w:jc w:val="both"/>
        <w:rPr>
          <w:rFonts w:ascii="Arial" w:hAnsi="Arial" w:cs="Arial"/>
          <w:sz w:val="20"/>
          <w:szCs w:val="20"/>
          <w:lang w:val="en-US"/>
        </w:rPr>
      </w:pPr>
      <w:hyperlink r:id="rId17" w:history="1">
        <w:r w:rsidR="006106B7" w:rsidRPr="00943922">
          <w:rPr>
            <w:rStyle w:val="Hyperlink"/>
            <w:rFonts w:ascii="Arial" w:hAnsi="Arial" w:cs="Arial"/>
            <w:bCs/>
            <w:sz w:val="20"/>
            <w:szCs w:val="20"/>
            <w:lang w:val="en-US"/>
          </w:rPr>
          <w:t>Recommendation 1323 (1997)</w:t>
        </w:r>
      </w:hyperlink>
      <w:r w:rsidR="006106B7">
        <w:rPr>
          <w:rFonts w:ascii="Arial" w:hAnsi="Arial" w:cs="Arial"/>
          <w:bCs/>
          <w:sz w:val="20"/>
          <w:szCs w:val="20"/>
          <w:lang w:val="en-US"/>
        </w:rPr>
        <w:t xml:space="preserve"> </w:t>
      </w:r>
      <w:r w:rsidR="006106B7" w:rsidRPr="006106B7">
        <w:rPr>
          <w:rFonts w:ascii="Arial" w:hAnsi="Arial" w:cs="Arial"/>
          <w:bCs/>
          <w:sz w:val="20"/>
          <w:szCs w:val="20"/>
          <w:lang w:val="en-US"/>
        </w:rPr>
        <w:t>on strengthening the machinery of the European Convention for the Prevention of Torture and Inhuman or Degrading Treatment or Punishment</w:t>
      </w:r>
      <w:r w:rsidR="00457450">
        <w:rPr>
          <w:rFonts w:ascii="Arial" w:hAnsi="Arial" w:cs="Arial"/>
          <w:bCs/>
          <w:sz w:val="20"/>
          <w:szCs w:val="20"/>
          <w:lang w:val="en-US"/>
        </w:rPr>
        <w:t xml:space="preserve"> (</w:t>
      </w:r>
      <w:r w:rsidR="00D27029">
        <w:rPr>
          <w:rFonts w:ascii="Arial" w:hAnsi="Arial" w:cs="Arial"/>
          <w:bCs/>
          <w:sz w:val="20"/>
          <w:szCs w:val="20"/>
          <w:lang w:val="en-US"/>
        </w:rPr>
        <w:t>cf.</w:t>
      </w:r>
      <w:r w:rsidR="00457450">
        <w:rPr>
          <w:rFonts w:ascii="Arial" w:hAnsi="Arial" w:cs="Arial"/>
          <w:bCs/>
          <w:sz w:val="20"/>
          <w:szCs w:val="20"/>
          <w:lang w:val="en-US"/>
        </w:rPr>
        <w:t xml:space="preserve"> </w:t>
      </w:r>
      <w:r w:rsidR="00D27029">
        <w:rPr>
          <w:rFonts w:ascii="Arial" w:hAnsi="Arial" w:cs="Arial"/>
          <w:bCs/>
          <w:sz w:val="20"/>
          <w:szCs w:val="20"/>
          <w:lang w:val="en-US"/>
        </w:rPr>
        <w:t>§</w:t>
      </w:r>
      <w:r w:rsidR="00C04FB6">
        <w:rPr>
          <w:rFonts w:ascii="Arial" w:hAnsi="Arial" w:cs="Arial"/>
          <w:bCs/>
          <w:sz w:val="20"/>
          <w:szCs w:val="20"/>
          <w:lang w:val="en-US"/>
        </w:rPr>
        <w:t xml:space="preserve"> </w:t>
      </w:r>
      <w:r w:rsidR="00D27029">
        <w:rPr>
          <w:rFonts w:ascii="Arial" w:hAnsi="Arial" w:cs="Arial"/>
          <w:bCs/>
          <w:sz w:val="20"/>
          <w:szCs w:val="20"/>
          <w:lang w:val="en-US"/>
        </w:rPr>
        <w:t>7)</w:t>
      </w:r>
      <w:r w:rsidR="006106B7">
        <w:rPr>
          <w:rFonts w:ascii="Arial" w:hAnsi="Arial" w:cs="Arial"/>
          <w:bCs/>
          <w:sz w:val="20"/>
          <w:szCs w:val="20"/>
          <w:lang w:val="en-US"/>
        </w:rPr>
        <w:t>;</w:t>
      </w:r>
    </w:p>
    <w:p w14:paraId="13153152" w14:textId="77777777" w:rsidR="006106B7" w:rsidRDefault="0056752F" w:rsidP="00BD5CC6">
      <w:pPr>
        <w:jc w:val="both"/>
        <w:rPr>
          <w:rFonts w:ascii="Arial" w:hAnsi="Arial" w:cs="Arial"/>
          <w:bCs/>
          <w:sz w:val="20"/>
          <w:szCs w:val="20"/>
          <w:lang w:val="en-GB"/>
        </w:rPr>
      </w:pPr>
      <w:hyperlink r:id="rId18" w:history="1">
        <w:r w:rsidR="006106B7" w:rsidRPr="00943922">
          <w:rPr>
            <w:rStyle w:val="Hyperlink"/>
            <w:rFonts w:ascii="Arial" w:hAnsi="Arial" w:cs="Arial"/>
            <w:bCs/>
            <w:sz w:val="20"/>
            <w:szCs w:val="20"/>
            <w:lang w:val="en-GB"/>
          </w:rPr>
          <w:t>Resolution 1248 (2001)</w:t>
        </w:r>
      </w:hyperlink>
      <w:r w:rsidR="006106B7" w:rsidRPr="006106B7">
        <w:rPr>
          <w:rFonts w:ascii="Arial" w:hAnsi="Arial" w:cs="Arial"/>
          <w:bCs/>
          <w:sz w:val="20"/>
          <w:szCs w:val="20"/>
          <w:lang w:val="en-GB"/>
        </w:rPr>
        <w:t xml:space="preserve"> on European Committee for the Prevention of Torture (CPT): composition</w:t>
      </w:r>
      <w:r w:rsidR="00D27029">
        <w:rPr>
          <w:rFonts w:ascii="Arial" w:hAnsi="Arial" w:cs="Arial"/>
          <w:bCs/>
          <w:sz w:val="20"/>
          <w:szCs w:val="20"/>
          <w:lang w:val="en-GB"/>
        </w:rPr>
        <w:t xml:space="preserve"> (cf. §§ 6 and 7)</w:t>
      </w:r>
      <w:r w:rsidR="006106B7">
        <w:rPr>
          <w:rFonts w:ascii="Arial" w:hAnsi="Arial" w:cs="Arial"/>
          <w:bCs/>
          <w:sz w:val="20"/>
          <w:szCs w:val="20"/>
          <w:lang w:val="en-GB"/>
        </w:rPr>
        <w:t>;</w:t>
      </w:r>
    </w:p>
    <w:p w14:paraId="2F11C52C" w14:textId="77777777" w:rsidR="006A69A5" w:rsidRPr="006106B7" w:rsidRDefault="0056752F" w:rsidP="00BD5CC6">
      <w:pPr>
        <w:jc w:val="both"/>
        <w:rPr>
          <w:rFonts w:ascii="Arial" w:hAnsi="Arial" w:cs="Arial"/>
          <w:sz w:val="20"/>
          <w:szCs w:val="20"/>
          <w:lang w:val="en-GB"/>
        </w:rPr>
      </w:pPr>
      <w:hyperlink r:id="rId19" w:history="1">
        <w:r w:rsidR="006A69A5" w:rsidRPr="00943922">
          <w:rPr>
            <w:rStyle w:val="Hyperlink"/>
            <w:rFonts w:ascii="Arial" w:hAnsi="Arial" w:cs="Arial"/>
            <w:bCs/>
            <w:sz w:val="20"/>
            <w:szCs w:val="20"/>
            <w:lang w:val="en-US"/>
          </w:rPr>
          <w:t>Resolution 1540 (2007)</w:t>
        </w:r>
      </w:hyperlink>
      <w:r w:rsidR="006A69A5" w:rsidRPr="006106B7">
        <w:rPr>
          <w:rFonts w:ascii="Arial" w:hAnsi="Arial" w:cs="Arial"/>
          <w:bCs/>
          <w:sz w:val="20"/>
          <w:szCs w:val="20"/>
          <w:lang w:val="en-US"/>
        </w:rPr>
        <w:t xml:space="preserve"> of the Parliamentary Assembly on Improving selection procedures for CPT members</w:t>
      </w:r>
      <w:r w:rsidR="00D27029">
        <w:rPr>
          <w:rFonts w:ascii="Arial" w:hAnsi="Arial" w:cs="Arial"/>
          <w:bCs/>
          <w:sz w:val="20"/>
          <w:szCs w:val="20"/>
          <w:lang w:val="en-US"/>
        </w:rPr>
        <w:t xml:space="preserve"> </w:t>
      </w:r>
      <w:r w:rsidR="000A6FB9">
        <w:rPr>
          <w:rFonts w:ascii="Arial" w:hAnsi="Arial" w:cs="Arial"/>
          <w:bCs/>
          <w:sz w:val="20"/>
          <w:szCs w:val="20"/>
          <w:lang w:val="en-US"/>
        </w:rPr>
        <w:t>(cf. §§ 6 and 7)</w:t>
      </w:r>
      <w:r w:rsidR="006106B7">
        <w:rPr>
          <w:rFonts w:ascii="Arial" w:hAnsi="Arial" w:cs="Arial"/>
          <w:bCs/>
          <w:sz w:val="20"/>
          <w:szCs w:val="20"/>
          <w:lang w:val="en-US"/>
        </w:rPr>
        <w:t>;</w:t>
      </w:r>
    </w:p>
    <w:p w14:paraId="57C5ED2B" w14:textId="77777777" w:rsidR="006A69A5" w:rsidRPr="006106B7" w:rsidRDefault="0056752F" w:rsidP="00BD5CC6">
      <w:pPr>
        <w:jc w:val="both"/>
        <w:rPr>
          <w:rFonts w:ascii="Arial" w:hAnsi="Arial" w:cs="Arial"/>
          <w:sz w:val="20"/>
          <w:szCs w:val="20"/>
          <w:lang w:val="en-GB"/>
        </w:rPr>
      </w:pPr>
      <w:hyperlink r:id="rId20" w:history="1">
        <w:r w:rsidR="00024D78" w:rsidRPr="00943922">
          <w:rPr>
            <w:rStyle w:val="Hyperlink"/>
            <w:rFonts w:ascii="Arial" w:hAnsi="Arial" w:cs="Arial"/>
            <w:sz w:val="20"/>
            <w:szCs w:val="20"/>
            <w:lang w:val="en-GB"/>
          </w:rPr>
          <w:t>Resolution 1808 (2011)</w:t>
        </w:r>
      </w:hyperlink>
      <w:r w:rsidR="00024D78" w:rsidRPr="006106B7">
        <w:rPr>
          <w:rFonts w:ascii="Arial" w:hAnsi="Arial" w:cs="Arial"/>
          <w:sz w:val="20"/>
          <w:szCs w:val="20"/>
          <w:lang w:val="en-GB"/>
        </w:rPr>
        <w:t xml:space="preserve"> on Strengthening torture prevention mechanisms in Europe</w:t>
      </w:r>
      <w:r w:rsidR="000A6FB9">
        <w:rPr>
          <w:rFonts w:ascii="Arial" w:hAnsi="Arial" w:cs="Arial"/>
          <w:sz w:val="20"/>
          <w:szCs w:val="20"/>
          <w:lang w:val="en-GB"/>
        </w:rPr>
        <w:t xml:space="preserve"> (cf. § 4)</w:t>
      </w:r>
      <w:r w:rsidR="001B62FC">
        <w:rPr>
          <w:rFonts w:ascii="Arial" w:hAnsi="Arial" w:cs="Arial"/>
          <w:sz w:val="20"/>
          <w:szCs w:val="20"/>
          <w:lang w:val="en-GB"/>
        </w:rPr>
        <w:t>;</w:t>
      </w:r>
    </w:p>
    <w:p w14:paraId="5F286FB3" w14:textId="77777777" w:rsidR="006A69A5" w:rsidRPr="000E0F3E" w:rsidRDefault="0056752F" w:rsidP="006106B7">
      <w:pPr>
        <w:rPr>
          <w:rFonts w:ascii="Arial" w:hAnsi="Arial" w:cs="Arial"/>
          <w:sz w:val="20"/>
          <w:szCs w:val="20"/>
        </w:rPr>
      </w:pPr>
      <w:hyperlink r:id="rId21" w:history="1">
        <w:r w:rsidR="009A56E9">
          <w:rPr>
            <w:rStyle w:val="Hyperlink"/>
            <w:rFonts w:ascii="Arial" w:hAnsi="Arial" w:cs="Arial"/>
            <w:sz w:val="20"/>
            <w:szCs w:val="20"/>
            <w:lang w:val="en-GB"/>
          </w:rPr>
          <w:t>Resolution 2160 (2017)</w:t>
        </w:r>
      </w:hyperlink>
      <w:r w:rsidR="00C04FB6">
        <w:rPr>
          <w:rFonts w:ascii="Arial" w:hAnsi="Arial" w:cs="Arial"/>
          <w:sz w:val="20"/>
          <w:szCs w:val="20"/>
          <w:lang w:val="en-GB"/>
        </w:rPr>
        <w:t xml:space="preserve"> </w:t>
      </w:r>
      <w:r w:rsidR="00C04FB6" w:rsidRPr="00C04FB6">
        <w:rPr>
          <w:rFonts w:ascii="Arial" w:hAnsi="Arial" w:cs="Arial"/>
          <w:sz w:val="20"/>
          <w:szCs w:val="20"/>
          <w:lang w:val="en-GB"/>
        </w:rPr>
        <w:t xml:space="preserve">on </w:t>
      </w:r>
      <w:r w:rsidR="00C04FB6" w:rsidRPr="00C04FB6">
        <w:rPr>
          <w:rFonts w:ascii="Arial" w:hAnsi="Arial" w:cs="Arial"/>
          <w:bCs/>
          <w:sz w:val="20"/>
          <w:szCs w:val="20"/>
          <w:lang w:val="en-US" w:eastAsia="ko-KR"/>
        </w:rPr>
        <w:t>25 years of the CPT: achievements and areas for improvement</w:t>
      </w:r>
      <w:r w:rsidR="00C04FB6">
        <w:rPr>
          <w:rFonts w:ascii="Arial" w:hAnsi="Arial" w:cs="Arial"/>
          <w:bCs/>
          <w:sz w:val="20"/>
          <w:szCs w:val="20"/>
          <w:lang w:val="en-US" w:eastAsia="ko-KR"/>
        </w:rPr>
        <w:t xml:space="preserve"> </w:t>
      </w:r>
      <w:r w:rsidR="00C04FB6">
        <w:rPr>
          <w:rFonts w:ascii="Arial" w:hAnsi="Arial" w:cs="Arial"/>
          <w:bCs/>
          <w:sz w:val="20"/>
          <w:szCs w:val="20"/>
          <w:lang w:val="en-US"/>
        </w:rPr>
        <w:t xml:space="preserve">(cf. </w:t>
      </w:r>
      <w:r w:rsidR="00C04FB6" w:rsidRPr="000E0F3E">
        <w:rPr>
          <w:rFonts w:ascii="Arial" w:hAnsi="Arial" w:cs="Arial"/>
          <w:bCs/>
          <w:sz w:val="20"/>
          <w:szCs w:val="20"/>
        </w:rPr>
        <w:t>§ 6).</w:t>
      </w:r>
      <w:r w:rsidR="00C04FB6" w:rsidRPr="000E0F3E">
        <w:rPr>
          <w:rFonts w:ascii="Arial" w:hAnsi="Arial" w:cs="Arial"/>
          <w:bCs/>
          <w:sz w:val="20"/>
          <w:szCs w:val="20"/>
          <w:lang w:eastAsia="ko-KR"/>
        </w:rPr>
        <w:t xml:space="preserve"> </w:t>
      </w:r>
    </w:p>
    <w:p w14:paraId="2D520124" w14:textId="77777777" w:rsidR="00C04FB6" w:rsidRPr="000E0F3E" w:rsidRDefault="00C04FB6" w:rsidP="006106B7">
      <w:pPr>
        <w:rPr>
          <w:rFonts w:ascii="Arial" w:hAnsi="Arial" w:cs="Arial"/>
          <w:sz w:val="20"/>
          <w:szCs w:val="20"/>
        </w:rPr>
      </w:pPr>
    </w:p>
    <w:p w14:paraId="3E02971F" w14:textId="77777777" w:rsidR="00395212" w:rsidRPr="000E0F3E" w:rsidRDefault="00395212" w:rsidP="00395212">
      <w:pPr>
        <w:jc w:val="center"/>
      </w:pPr>
    </w:p>
    <w:p w14:paraId="613615AD" w14:textId="77777777" w:rsidR="000E0F3E" w:rsidRPr="00D71DF4" w:rsidRDefault="000E0F3E" w:rsidP="000E0F3E">
      <w:pPr>
        <w:jc w:val="center"/>
        <w:rPr>
          <w:b/>
        </w:rPr>
      </w:pPr>
      <w:r w:rsidRPr="00D71DF4">
        <w:rPr>
          <w:b/>
        </w:rPr>
        <w:lastRenderedPageBreak/>
        <w:t>ANNEXE</w:t>
      </w:r>
    </w:p>
    <w:p w14:paraId="72EA85F4" w14:textId="77777777" w:rsidR="000E0F3E" w:rsidRDefault="000E0F3E" w:rsidP="000E0F3E">
      <w:pPr>
        <w:jc w:val="both"/>
        <w:outlineLvl w:val="0"/>
        <w:rPr>
          <w:b/>
          <w:sz w:val="20"/>
          <w:szCs w:val="20"/>
        </w:rPr>
      </w:pPr>
    </w:p>
    <w:p w14:paraId="2A21E85D" w14:textId="77777777" w:rsidR="000E0F3E" w:rsidRPr="00502A97" w:rsidRDefault="000E0F3E" w:rsidP="000E0F3E">
      <w:pPr>
        <w:jc w:val="both"/>
        <w:outlineLvl w:val="0"/>
        <w:rPr>
          <w:b/>
          <w:sz w:val="20"/>
          <w:szCs w:val="20"/>
        </w:rPr>
      </w:pPr>
    </w:p>
    <w:p w14:paraId="71DC01E3" w14:textId="77777777" w:rsidR="000E0F3E" w:rsidRPr="00502A97" w:rsidRDefault="000E0F3E" w:rsidP="000E0F3E">
      <w:pPr>
        <w:jc w:val="both"/>
        <w:outlineLvl w:val="0"/>
        <w:rPr>
          <w:rFonts w:ascii="Arial" w:hAnsi="Arial" w:cs="Arial"/>
          <w:b/>
          <w:sz w:val="20"/>
          <w:szCs w:val="20"/>
        </w:rPr>
      </w:pPr>
      <w:r w:rsidRPr="00502A97">
        <w:rPr>
          <w:rFonts w:ascii="Arial" w:hAnsi="Arial" w:cs="Arial"/>
          <w:b/>
          <w:sz w:val="20"/>
          <w:szCs w:val="20"/>
        </w:rPr>
        <w:t>Procédure électorale :</w:t>
      </w:r>
    </w:p>
    <w:p w14:paraId="204153F5" w14:textId="77777777" w:rsidR="000E0F3E" w:rsidRPr="00502A97" w:rsidRDefault="000E0F3E" w:rsidP="000E0F3E">
      <w:pPr>
        <w:jc w:val="both"/>
        <w:outlineLvl w:val="0"/>
        <w:rPr>
          <w:rFonts w:ascii="Arial" w:hAnsi="Arial" w:cs="Arial"/>
          <w:b/>
          <w:sz w:val="20"/>
          <w:szCs w:val="20"/>
        </w:rPr>
      </w:pPr>
    </w:p>
    <w:p w14:paraId="053EA677" w14:textId="77777777" w:rsidR="000E0F3E" w:rsidRPr="00502A97" w:rsidRDefault="000E0F3E" w:rsidP="000E0F3E">
      <w:pPr>
        <w:jc w:val="both"/>
        <w:rPr>
          <w:rStyle w:val="Emphasis"/>
          <w:rFonts w:ascii="Arial" w:hAnsi="Arial" w:cs="Arial"/>
          <w:i w:val="0"/>
          <w:sz w:val="20"/>
          <w:szCs w:val="20"/>
        </w:rPr>
      </w:pPr>
      <w:r w:rsidRPr="00502A97">
        <w:rPr>
          <w:rStyle w:val="Emphasis"/>
          <w:rFonts w:ascii="Arial" w:hAnsi="Arial" w:cs="Arial"/>
          <w:i w:val="0"/>
          <w:sz w:val="20"/>
          <w:szCs w:val="20"/>
        </w:rPr>
        <w:t>Conformément à l’</w:t>
      </w:r>
      <w:r w:rsidRPr="00502A97">
        <w:rPr>
          <w:rStyle w:val="Emphasis"/>
          <w:rFonts w:ascii="Arial" w:hAnsi="Arial" w:cs="Arial"/>
          <w:i w:val="0"/>
          <w:sz w:val="20"/>
          <w:szCs w:val="20"/>
          <w:u w:val="single"/>
        </w:rPr>
        <w:t>article 4</w:t>
      </w:r>
      <w:r w:rsidRPr="00502A97">
        <w:rPr>
          <w:rStyle w:val="Emphasis"/>
          <w:rFonts w:ascii="Arial" w:hAnsi="Arial" w:cs="Arial"/>
          <w:i w:val="0"/>
          <w:sz w:val="20"/>
          <w:szCs w:val="20"/>
        </w:rPr>
        <w:t xml:space="preserve"> de </w:t>
      </w:r>
      <w:hyperlink r:id="rId22" w:history="1">
        <w:r w:rsidRPr="00B94670">
          <w:rPr>
            <w:rStyle w:val="Hyperlink"/>
            <w:rFonts w:ascii="Arial" w:hAnsi="Arial" w:cs="Arial"/>
            <w:sz w:val="20"/>
            <w:szCs w:val="20"/>
          </w:rPr>
          <w:t>la Convention européenne pour la prévention de la torture et des peines ou traitements inhumains ou dégradants</w:t>
        </w:r>
      </w:hyperlink>
      <w:r w:rsidRPr="00502A97">
        <w:rPr>
          <w:rStyle w:val="Emphasis"/>
          <w:rFonts w:ascii="Arial" w:hAnsi="Arial" w:cs="Arial"/>
          <w:i w:val="0"/>
          <w:sz w:val="20"/>
          <w:szCs w:val="20"/>
        </w:rPr>
        <w:t xml:space="preserve"> (CEPT [</w:t>
      </w:r>
      <w:proofErr w:type="spellStart"/>
      <w:r w:rsidRPr="00502A97">
        <w:rPr>
          <w:rStyle w:val="Emphasis"/>
          <w:rFonts w:ascii="Arial" w:hAnsi="Arial" w:cs="Arial"/>
          <w:i w:val="0"/>
          <w:sz w:val="20"/>
          <w:szCs w:val="20"/>
        </w:rPr>
        <w:t>STE°n</w:t>
      </w:r>
      <w:proofErr w:type="spellEnd"/>
      <w:r w:rsidRPr="00502A97">
        <w:rPr>
          <w:rStyle w:val="Emphasis"/>
          <w:rFonts w:ascii="Arial" w:hAnsi="Arial" w:cs="Arial"/>
          <w:i w:val="0"/>
          <w:sz w:val="20"/>
          <w:szCs w:val="20"/>
        </w:rPr>
        <w:t>° 126</w:t>
      </w:r>
      <w:r w:rsidRPr="00502A97">
        <w:rPr>
          <w:rStyle w:val="FootnoteReference"/>
          <w:rFonts w:ascii="Arial" w:hAnsi="Arial" w:cs="Arial"/>
          <w:iCs/>
          <w:sz w:val="20"/>
          <w:szCs w:val="20"/>
        </w:rPr>
        <w:footnoteReference w:id="2"/>
      </w:r>
      <w:r w:rsidRPr="00502A97">
        <w:rPr>
          <w:rStyle w:val="Emphasis"/>
          <w:rFonts w:ascii="Arial" w:hAnsi="Arial" w:cs="Arial"/>
          <w:i w:val="0"/>
          <w:sz w:val="20"/>
          <w:szCs w:val="20"/>
        </w:rPr>
        <w:t xml:space="preserve">], le CPT se compose d’un nombre de membres égal à celui des Parties. </w:t>
      </w:r>
    </w:p>
    <w:p w14:paraId="4F84C925" w14:textId="77777777" w:rsidR="000E0F3E" w:rsidRPr="00502A97" w:rsidRDefault="000E0F3E" w:rsidP="000E0F3E">
      <w:pPr>
        <w:rPr>
          <w:rStyle w:val="Emphasis"/>
          <w:rFonts w:ascii="Arial" w:hAnsi="Arial" w:cs="Arial"/>
          <w:i w:val="0"/>
          <w:sz w:val="20"/>
          <w:szCs w:val="20"/>
        </w:rPr>
      </w:pPr>
    </w:p>
    <w:p w14:paraId="342566D6" w14:textId="77777777" w:rsidR="000E0F3E" w:rsidRPr="00502A97" w:rsidRDefault="000E0F3E" w:rsidP="000E0F3E">
      <w:pPr>
        <w:jc w:val="both"/>
        <w:rPr>
          <w:rFonts w:ascii="Arial" w:hAnsi="Arial" w:cs="Arial"/>
          <w:spacing w:val="-2"/>
          <w:kern w:val="2"/>
          <w:sz w:val="20"/>
          <w:szCs w:val="20"/>
        </w:rPr>
      </w:pPr>
      <w:r w:rsidRPr="00502A97">
        <w:rPr>
          <w:rStyle w:val="Emphasis"/>
          <w:rFonts w:ascii="Arial" w:hAnsi="Arial" w:cs="Arial"/>
          <w:i w:val="0"/>
          <w:sz w:val="20"/>
          <w:szCs w:val="20"/>
        </w:rPr>
        <w:t xml:space="preserve">Les membres du Comité sont choisis parmi des personnalités de haute moralité, connues pour leur compétence en matière de droits de l'homme ou ayant une expérience professionnelle dans les domaines dont traite la Convention. </w:t>
      </w:r>
    </w:p>
    <w:p w14:paraId="19E6E3C8" w14:textId="77777777" w:rsidR="000E0F3E" w:rsidRPr="00502A97" w:rsidRDefault="000E0F3E" w:rsidP="000E0F3E">
      <w:pPr>
        <w:rPr>
          <w:rFonts w:ascii="Arial" w:hAnsi="Arial" w:cs="Arial"/>
          <w:spacing w:val="-2"/>
          <w:kern w:val="2"/>
          <w:sz w:val="20"/>
          <w:szCs w:val="20"/>
        </w:rPr>
      </w:pPr>
    </w:p>
    <w:p w14:paraId="49BD206F" w14:textId="77777777" w:rsidR="000E0F3E" w:rsidRPr="00502A97" w:rsidRDefault="000E0F3E" w:rsidP="000E0F3E">
      <w:pPr>
        <w:rPr>
          <w:rFonts w:ascii="Arial" w:hAnsi="Arial" w:cs="Arial"/>
          <w:spacing w:val="-2"/>
          <w:kern w:val="2"/>
          <w:sz w:val="20"/>
          <w:szCs w:val="20"/>
        </w:rPr>
      </w:pPr>
      <w:r w:rsidRPr="00502A97">
        <w:rPr>
          <w:rFonts w:ascii="Arial" w:hAnsi="Arial" w:cs="Arial"/>
          <w:spacing w:val="-2"/>
          <w:kern w:val="2"/>
          <w:sz w:val="20"/>
          <w:szCs w:val="20"/>
        </w:rPr>
        <w:t xml:space="preserve">Le Comité ne peut comprendre plus d’un national du même Etat. </w:t>
      </w:r>
    </w:p>
    <w:p w14:paraId="779225AD" w14:textId="77777777" w:rsidR="000E0F3E" w:rsidRPr="00502A97" w:rsidRDefault="000E0F3E" w:rsidP="000E0F3E">
      <w:pPr>
        <w:tabs>
          <w:tab w:val="left" w:pos="-720"/>
          <w:tab w:val="left" w:pos="0"/>
          <w:tab w:val="left" w:pos="432"/>
          <w:tab w:val="left" w:pos="864"/>
          <w:tab w:val="left" w:pos="1296"/>
          <w:tab w:val="left" w:pos="1728"/>
          <w:tab w:val="left" w:pos="2160"/>
        </w:tabs>
        <w:suppressAutoHyphens/>
        <w:jc w:val="both"/>
        <w:rPr>
          <w:rFonts w:ascii="Arial" w:hAnsi="Arial" w:cs="Arial"/>
          <w:spacing w:val="-2"/>
          <w:kern w:val="2"/>
          <w:sz w:val="20"/>
          <w:szCs w:val="20"/>
        </w:rPr>
      </w:pPr>
    </w:p>
    <w:p w14:paraId="3CBC5881" w14:textId="77777777" w:rsidR="000E0F3E" w:rsidRPr="00502A97" w:rsidRDefault="000E0F3E" w:rsidP="000E0F3E">
      <w:pPr>
        <w:jc w:val="both"/>
        <w:rPr>
          <w:rFonts w:ascii="Arial" w:hAnsi="Arial" w:cs="Arial"/>
          <w:sz w:val="20"/>
          <w:szCs w:val="20"/>
        </w:rPr>
      </w:pPr>
      <w:r w:rsidRPr="00502A97">
        <w:rPr>
          <w:rFonts w:ascii="Arial" w:hAnsi="Arial" w:cs="Arial"/>
          <w:sz w:val="20"/>
          <w:szCs w:val="20"/>
        </w:rPr>
        <w:t>Les membres siègent à titre individuel, sont indépendants et impartiaux dans l’exercice de leurs mandats et se rendent disponibles pour remplir leurs fonctions de manière effective.</w:t>
      </w:r>
    </w:p>
    <w:p w14:paraId="209C340B" w14:textId="77777777" w:rsidR="000E0F3E" w:rsidRPr="00502A97" w:rsidRDefault="000E0F3E" w:rsidP="000E0F3E">
      <w:pPr>
        <w:jc w:val="both"/>
        <w:outlineLvl w:val="0"/>
        <w:rPr>
          <w:rFonts w:ascii="Arial" w:hAnsi="Arial" w:cs="Arial"/>
          <w:sz w:val="20"/>
          <w:szCs w:val="20"/>
        </w:rPr>
      </w:pPr>
    </w:p>
    <w:p w14:paraId="2385420B" w14:textId="77777777" w:rsidR="000E0F3E" w:rsidRPr="00502A97" w:rsidRDefault="000E0F3E" w:rsidP="000E0F3E">
      <w:pPr>
        <w:jc w:val="both"/>
        <w:outlineLvl w:val="0"/>
        <w:rPr>
          <w:rFonts w:ascii="Arial" w:hAnsi="Arial" w:cs="Arial"/>
          <w:sz w:val="20"/>
          <w:szCs w:val="20"/>
        </w:rPr>
      </w:pPr>
      <w:r w:rsidRPr="00502A97">
        <w:rPr>
          <w:rFonts w:ascii="Arial" w:hAnsi="Arial" w:cs="Arial"/>
          <w:sz w:val="20"/>
          <w:szCs w:val="20"/>
        </w:rPr>
        <w:t>Conformément à l’</w:t>
      </w:r>
      <w:r w:rsidRPr="00502A97">
        <w:rPr>
          <w:rFonts w:ascii="Arial" w:hAnsi="Arial" w:cs="Arial"/>
          <w:sz w:val="20"/>
          <w:szCs w:val="20"/>
          <w:u w:val="single"/>
        </w:rPr>
        <w:t>article 5</w:t>
      </w:r>
      <w:r w:rsidRPr="00502A97">
        <w:rPr>
          <w:rFonts w:ascii="Arial" w:hAnsi="Arial" w:cs="Arial"/>
          <w:sz w:val="20"/>
          <w:szCs w:val="20"/>
        </w:rPr>
        <w:t xml:space="preserve"> de la CEPT, les membres du Comité sont élus par le Comité des Ministres du Conseil de l'Europe à la majorité absolue des voix, sur une liste de noms dressée par le Bureau de l’Assemblée parlementaire du Conseil de l'Europe ; la délégation nationale de chaque Partie à l’Assemblée parlementaire présente trois candidats dont deux au moins sont de sa nationalité.</w:t>
      </w:r>
    </w:p>
    <w:p w14:paraId="4A4374BD" w14:textId="77777777" w:rsidR="000E0F3E" w:rsidRPr="00502A97" w:rsidRDefault="000E0F3E" w:rsidP="000E0F3E">
      <w:pPr>
        <w:tabs>
          <w:tab w:val="left" w:pos="-1440"/>
          <w:tab w:val="left" w:pos="0"/>
          <w:tab w:val="left" w:pos="432"/>
          <w:tab w:val="left" w:pos="864"/>
          <w:tab w:val="left" w:pos="1296"/>
          <w:tab w:val="left" w:pos="1728"/>
          <w:tab w:val="left" w:pos="2160"/>
        </w:tabs>
        <w:suppressAutoHyphens/>
        <w:jc w:val="both"/>
        <w:rPr>
          <w:rFonts w:ascii="Arial" w:hAnsi="Arial" w:cs="Arial"/>
          <w:spacing w:val="-2"/>
          <w:kern w:val="2"/>
          <w:sz w:val="20"/>
          <w:szCs w:val="20"/>
        </w:rPr>
      </w:pPr>
      <w:r w:rsidRPr="00502A97">
        <w:rPr>
          <w:rFonts w:ascii="Arial" w:hAnsi="Arial" w:cs="Arial"/>
          <w:spacing w:val="-2"/>
          <w:sz w:val="20"/>
          <w:szCs w:val="20"/>
        </w:rPr>
        <w:tab/>
      </w:r>
      <w:r w:rsidRPr="00502A97">
        <w:rPr>
          <w:rFonts w:ascii="Arial" w:hAnsi="Arial" w:cs="Arial"/>
          <w:spacing w:val="-2"/>
          <w:sz w:val="20"/>
          <w:szCs w:val="20"/>
        </w:rPr>
        <w:tab/>
      </w:r>
    </w:p>
    <w:p w14:paraId="18E26136" w14:textId="77777777" w:rsidR="000E0F3E" w:rsidRDefault="000E0F3E" w:rsidP="000E0F3E">
      <w:pPr>
        <w:jc w:val="both"/>
        <w:outlineLvl w:val="0"/>
        <w:rPr>
          <w:rStyle w:val="Emphasis"/>
          <w:rFonts w:ascii="Arial" w:hAnsi="Arial" w:cs="Arial"/>
          <w:i w:val="0"/>
          <w:sz w:val="20"/>
          <w:szCs w:val="20"/>
        </w:rPr>
      </w:pPr>
      <w:r w:rsidRPr="00502A97">
        <w:rPr>
          <w:rStyle w:val="Emphasis"/>
          <w:rFonts w:ascii="Arial" w:hAnsi="Arial" w:cs="Arial"/>
          <w:i w:val="0"/>
          <w:sz w:val="20"/>
          <w:szCs w:val="20"/>
        </w:rPr>
        <w:t>Les membres du Comité sont élus pour une durée de quatre ans. Ils sont rééligibles deux fois.</w:t>
      </w:r>
    </w:p>
    <w:p w14:paraId="3FB81355" w14:textId="77777777" w:rsidR="000E0F3E" w:rsidRDefault="000E0F3E" w:rsidP="000E0F3E">
      <w:pPr>
        <w:jc w:val="both"/>
        <w:outlineLvl w:val="0"/>
        <w:rPr>
          <w:rStyle w:val="Emphasis"/>
          <w:rFonts w:ascii="Arial" w:hAnsi="Arial" w:cs="Arial"/>
          <w:i w:val="0"/>
          <w:sz w:val="20"/>
          <w:szCs w:val="20"/>
        </w:rPr>
      </w:pPr>
    </w:p>
    <w:p w14:paraId="13CA7EFF" w14:textId="77777777" w:rsidR="000E0F3E" w:rsidRPr="00502A97" w:rsidRDefault="000E0F3E" w:rsidP="000E0F3E">
      <w:pPr>
        <w:jc w:val="both"/>
        <w:outlineLvl w:val="0"/>
        <w:rPr>
          <w:rStyle w:val="Emphasis"/>
          <w:rFonts w:ascii="Arial" w:hAnsi="Arial" w:cs="Arial"/>
          <w:i w:val="0"/>
          <w:sz w:val="20"/>
          <w:szCs w:val="20"/>
        </w:rPr>
      </w:pPr>
      <w:r w:rsidRPr="00A60DCD">
        <w:rPr>
          <w:rFonts w:ascii="Arial" w:hAnsi="Arial" w:cs="Arial"/>
          <w:spacing w:val="-2"/>
          <w:sz w:val="20"/>
          <w:szCs w:val="20"/>
        </w:rPr>
        <w:t>Les exigences de l’Assemblée en ce qui concerne l’équité et la transparence de la procédure nationale pour la sélection des candidats</w:t>
      </w:r>
      <w:r>
        <w:rPr>
          <w:rFonts w:ascii="Arial" w:hAnsi="Arial" w:cs="Arial"/>
          <w:spacing w:val="-2"/>
          <w:sz w:val="20"/>
          <w:szCs w:val="20"/>
        </w:rPr>
        <w:t xml:space="preserve"> et les normes applicables aux candidats</w:t>
      </w:r>
      <w:r w:rsidRPr="00A60DCD">
        <w:rPr>
          <w:rFonts w:ascii="Arial" w:hAnsi="Arial" w:cs="Arial"/>
          <w:spacing w:val="-2"/>
          <w:sz w:val="20"/>
          <w:szCs w:val="20"/>
        </w:rPr>
        <w:t xml:space="preserve"> sont établies par les</w:t>
      </w:r>
      <w:r w:rsidRPr="00A60DCD">
        <w:t xml:space="preserve"> </w:t>
      </w:r>
      <w:hyperlink r:id="rId23" w:history="1">
        <w:r>
          <w:rPr>
            <w:rStyle w:val="Hyperlink"/>
            <w:rFonts w:ascii="Arial" w:hAnsi="Arial" w:cs="Arial"/>
            <w:spacing w:val="-2"/>
            <w:sz w:val="20"/>
            <w:szCs w:val="20"/>
          </w:rPr>
          <w:t>Résolutions 1248 (2001)</w:t>
        </w:r>
      </w:hyperlink>
      <w:r w:rsidRPr="00A60DCD">
        <w:rPr>
          <w:rFonts w:ascii="Arial" w:hAnsi="Arial" w:cs="Arial"/>
          <w:spacing w:val="-2"/>
          <w:sz w:val="20"/>
          <w:szCs w:val="20"/>
        </w:rPr>
        <w:t xml:space="preserve">, </w:t>
      </w:r>
      <w:hyperlink r:id="rId24" w:history="1">
        <w:r w:rsidRPr="00A60DCD">
          <w:rPr>
            <w:rStyle w:val="Hyperlink"/>
            <w:rFonts w:ascii="Arial" w:hAnsi="Arial" w:cs="Arial"/>
            <w:spacing w:val="-2"/>
            <w:sz w:val="20"/>
            <w:szCs w:val="20"/>
          </w:rPr>
          <w:t>1540 (2007)</w:t>
        </w:r>
      </w:hyperlink>
      <w:r w:rsidRPr="00A60DCD">
        <w:rPr>
          <w:rFonts w:ascii="Arial" w:hAnsi="Arial" w:cs="Arial"/>
          <w:spacing w:val="-2"/>
          <w:sz w:val="20"/>
          <w:szCs w:val="20"/>
        </w:rPr>
        <w:t xml:space="preserve"> et </w:t>
      </w:r>
      <w:hyperlink r:id="rId25" w:history="1">
        <w:r w:rsidRPr="00A60DCD">
          <w:rPr>
            <w:rStyle w:val="Hyperlink"/>
            <w:rFonts w:ascii="Arial" w:hAnsi="Arial" w:cs="Arial"/>
            <w:spacing w:val="-2"/>
            <w:sz w:val="20"/>
            <w:szCs w:val="20"/>
          </w:rPr>
          <w:t>2160 (2017)</w:t>
        </w:r>
      </w:hyperlink>
      <w:r w:rsidRPr="00A60DCD">
        <w:rPr>
          <w:rFonts w:ascii="Arial" w:hAnsi="Arial" w:cs="Arial"/>
          <w:spacing w:val="-2"/>
          <w:sz w:val="20"/>
          <w:szCs w:val="20"/>
        </w:rPr>
        <w:t>.</w:t>
      </w:r>
    </w:p>
    <w:p w14:paraId="5A76AB51" w14:textId="77777777" w:rsidR="000E0F3E" w:rsidRPr="00502A97" w:rsidRDefault="000E0F3E" w:rsidP="000E0F3E">
      <w:pPr>
        <w:jc w:val="both"/>
        <w:outlineLvl w:val="0"/>
        <w:rPr>
          <w:rFonts w:ascii="Arial" w:hAnsi="Arial" w:cs="Arial"/>
          <w:spacing w:val="-2"/>
          <w:sz w:val="20"/>
          <w:szCs w:val="20"/>
        </w:rPr>
      </w:pPr>
    </w:p>
    <w:p w14:paraId="1597227D" w14:textId="77777777" w:rsidR="000E0F3E" w:rsidRPr="00502A97" w:rsidRDefault="000E0F3E" w:rsidP="000E0F3E">
      <w:pPr>
        <w:jc w:val="both"/>
        <w:outlineLvl w:val="0"/>
        <w:rPr>
          <w:rFonts w:ascii="Arial" w:hAnsi="Arial" w:cs="Arial"/>
          <w:spacing w:val="-2"/>
          <w:sz w:val="20"/>
          <w:szCs w:val="20"/>
        </w:rPr>
      </w:pPr>
      <w:r w:rsidRPr="00502A97">
        <w:rPr>
          <w:rFonts w:ascii="Arial" w:hAnsi="Arial" w:cs="Arial"/>
          <w:spacing w:val="-2"/>
          <w:sz w:val="20"/>
          <w:szCs w:val="20"/>
        </w:rPr>
        <w:t xml:space="preserve">Conformément aux </w:t>
      </w:r>
      <w:hyperlink r:id="rId26" w:history="1">
        <w:r>
          <w:rPr>
            <w:rStyle w:val="Hyperlink"/>
            <w:rFonts w:ascii="Arial" w:hAnsi="Arial" w:cs="Arial"/>
            <w:spacing w:val="-2"/>
            <w:sz w:val="20"/>
            <w:szCs w:val="20"/>
          </w:rPr>
          <w:t>Résolutions 1248 (2001)</w:t>
        </w:r>
      </w:hyperlink>
      <w:r>
        <w:rPr>
          <w:rFonts w:ascii="Arial" w:hAnsi="Arial" w:cs="Arial"/>
          <w:spacing w:val="-2"/>
          <w:sz w:val="20"/>
          <w:szCs w:val="20"/>
        </w:rPr>
        <w:t>,</w:t>
      </w:r>
      <w:r w:rsidRPr="00502A97">
        <w:rPr>
          <w:rFonts w:ascii="Arial" w:hAnsi="Arial" w:cs="Arial"/>
          <w:spacing w:val="-2"/>
          <w:sz w:val="20"/>
          <w:szCs w:val="20"/>
        </w:rPr>
        <w:t xml:space="preserve"> </w:t>
      </w:r>
      <w:hyperlink r:id="rId27" w:history="1">
        <w:r w:rsidRPr="00591D30">
          <w:rPr>
            <w:rStyle w:val="Hyperlink"/>
            <w:rFonts w:ascii="Arial" w:hAnsi="Arial" w:cs="Arial"/>
            <w:spacing w:val="-2"/>
            <w:sz w:val="20"/>
            <w:szCs w:val="20"/>
          </w:rPr>
          <w:t>1540 (2007)</w:t>
        </w:r>
      </w:hyperlink>
      <w:r>
        <w:rPr>
          <w:rFonts w:ascii="Arial" w:hAnsi="Arial" w:cs="Arial"/>
          <w:spacing w:val="-2"/>
          <w:sz w:val="20"/>
          <w:szCs w:val="20"/>
        </w:rPr>
        <w:t xml:space="preserve"> et </w:t>
      </w:r>
      <w:hyperlink r:id="rId28" w:history="1">
        <w:r w:rsidRPr="00FC425C">
          <w:rPr>
            <w:rStyle w:val="Hyperlink"/>
            <w:rFonts w:ascii="Arial" w:hAnsi="Arial" w:cs="Arial"/>
            <w:spacing w:val="-2"/>
            <w:sz w:val="20"/>
            <w:szCs w:val="20"/>
          </w:rPr>
          <w:t>2160 (2017)</w:t>
        </w:r>
      </w:hyperlink>
      <w:r>
        <w:rPr>
          <w:rFonts w:ascii="Arial" w:hAnsi="Arial" w:cs="Arial"/>
          <w:spacing w:val="-2"/>
          <w:sz w:val="20"/>
          <w:szCs w:val="20"/>
        </w:rPr>
        <w:t>,</w:t>
      </w:r>
      <w:r w:rsidRPr="00502A97">
        <w:rPr>
          <w:rFonts w:ascii="Arial" w:hAnsi="Arial" w:cs="Arial"/>
          <w:spacing w:val="-2"/>
          <w:sz w:val="20"/>
          <w:szCs w:val="20"/>
        </w:rPr>
        <w:t xml:space="preserve"> les listes de candidats sont examinées par la sous-commission des droits de l'homme de la commission des questions juridiques et des droits de l'homme, qui fait une recommandation au Bureau de l’Assemblée en indiquant un ordre de préférence entre les candidats ou recommande éventuellement au Bureau de demander qu’une nouvelle liste lui soit présentée si les critères pertinents n’ont pas été satisfaits</w:t>
      </w:r>
      <w:r>
        <w:rPr>
          <w:rFonts w:ascii="Arial" w:hAnsi="Arial" w:cs="Arial"/>
          <w:spacing w:val="-2"/>
          <w:sz w:val="20"/>
          <w:szCs w:val="20"/>
        </w:rPr>
        <w:t>.</w:t>
      </w:r>
    </w:p>
    <w:p w14:paraId="6212C3A4" w14:textId="77777777" w:rsidR="000E0F3E" w:rsidRPr="00502A97" w:rsidRDefault="000E0F3E" w:rsidP="000E0F3E">
      <w:pPr>
        <w:jc w:val="both"/>
        <w:outlineLvl w:val="0"/>
        <w:rPr>
          <w:b/>
          <w:sz w:val="20"/>
          <w:szCs w:val="20"/>
        </w:rPr>
      </w:pPr>
    </w:p>
    <w:p w14:paraId="04E84732" w14:textId="77777777" w:rsidR="000E0F3E" w:rsidRPr="00502A97" w:rsidRDefault="000E0F3E" w:rsidP="000E0F3E">
      <w:pPr>
        <w:jc w:val="both"/>
        <w:rPr>
          <w:sz w:val="20"/>
          <w:szCs w:val="20"/>
        </w:rPr>
      </w:pPr>
    </w:p>
    <w:p w14:paraId="5DFFE9C2" w14:textId="77777777" w:rsidR="000E0F3E" w:rsidRPr="00502A97" w:rsidRDefault="000E0F3E" w:rsidP="000E0F3E">
      <w:pPr>
        <w:jc w:val="center"/>
        <w:rPr>
          <w:sz w:val="20"/>
          <w:szCs w:val="20"/>
        </w:rPr>
      </w:pPr>
      <w:r w:rsidRPr="00502A97">
        <w:rPr>
          <w:sz w:val="20"/>
          <w:szCs w:val="20"/>
        </w:rPr>
        <w:t>*****</w:t>
      </w:r>
    </w:p>
    <w:p w14:paraId="3DB791D7" w14:textId="77777777" w:rsidR="000E0F3E" w:rsidRDefault="000E0F3E" w:rsidP="000E0F3E">
      <w:pPr>
        <w:pStyle w:val="NormalWeb"/>
        <w:spacing w:before="0" w:beforeAutospacing="0" w:after="0" w:afterAutospacing="0"/>
        <w:jc w:val="both"/>
        <w:rPr>
          <w:rFonts w:ascii="Arial" w:hAnsi="Arial" w:cs="Arial"/>
          <w:b/>
          <w:sz w:val="20"/>
          <w:szCs w:val="20"/>
          <w:lang w:val="fr-FR"/>
        </w:rPr>
      </w:pPr>
    </w:p>
    <w:p w14:paraId="4662C131" w14:textId="77777777" w:rsidR="000E0F3E" w:rsidRDefault="000E0F3E" w:rsidP="000E0F3E">
      <w:pPr>
        <w:pStyle w:val="NormalWeb"/>
        <w:spacing w:before="0" w:beforeAutospacing="0" w:after="0" w:afterAutospacing="0"/>
        <w:jc w:val="both"/>
        <w:rPr>
          <w:rFonts w:ascii="Arial" w:hAnsi="Arial" w:cs="Arial"/>
          <w:b/>
          <w:sz w:val="20"/>
          <w:szCs w:val="20"/>
          <w:lang w:val="fr-FR"/>
        </w:rPr>
      </w:pPr>
    </w:p>
    <w:p w14:paraId="559A57B5" w14:textId="77777777" w:rsidR="000E0F3E" w:rsidRPr="00502A97" w:rsidRDefault="000E0F3E" w:rsidP="000E0F3E">
      <w:pPr>
        <w:pStyle w:val="NormalWeb"/>
        <w:spacing w:before="0" w:beforeAutospacing="0" w:after="0" w:afterAutospacing="0"/>
        <w:jc w:val="both"/>
        <w:rPr>
          <w:rFonts w:ascii="Arial" w:hAnsi="Arial" w:cs="Arial"/>
          <w:sz w:val="20"/>
          <w:szCs w:val="20"/>
          <w:lang w:val="fr-FR"/>
        </w:rPr>
      </w:pPr>
      <w:r w:rsidRPr="00502A97">
        <w:rPr>
          <w:rFonts w:ascii="Arial" w:hAnsi="Arial" w:cs="Arial"/>
          <w:b/>
          <w:sz w:val="20"/>
          <w:szCs w:val="20"/>
          <w:lang w:val="fr-FR"/>
        </w:rPr>
        <w:t xml:space="preserve">Textes pertinents : </w:t>
      </w:r>
    </w:p>
    <w:p w14:paraId="1D238B9B" w14:textId="77777777" w:rsidR="000E0F3E" w:rsidRPr="00502A97" w:rsidRDefault="000E0F3E" w:rsidP="000E0F3E">
      <w:pPr>
        <w:pStyle w:val="NormalWeb"/>
        <w:spacing w:before="0" w:beforeAutospacing="0" w:after="0" w:afterAutospacing="0"/>
        <w:jc w:val="both"/>
        <w:rPr>
          <w:rFonts w:ascii="Arial" w:hAnsi="Arial" w:cs="Arial"/>
          <w:b/>
          <w:sz w:val="20"/>
          <w:szCs w:val="20"/>
          <w:lang w:val="fr-FR"/>
        </w:rPr>
      </w:pPr>
    </w:p>
    <w:p w14:paraId="77AF6C68" w14:textId="77777777" w:rsidR="000E0F3E" w:rsidRPr="00502A97" w:rsidRDefault="000E0F3E" w:rsidP="000E0F3E">
      <w:pPr>
        <w:jc w:val="both"/>
        <w:rPr>
          <w:rFonts w:ascii="Arial" w:hAnsi="Arial" w:cs="Arial"/>
          <w:sz w:val="20"/>
          <w:szCs w:val="20"/>
        </w:rPr>
      </w:pPr>
      <w:hyperlink r:id="rId29" w:history="1">
        <w:r w:rsidRPr="00B94670">
          <w:rPr>
            <w:rStyle w:val="Hyperlink"/>
            <w:rFonts w:ascii="Arial" w:hAnsi="Arial" w:cs="Arial"/>
            <w:sz w:val="20"/>
            <w:szCs w:val="20"/>
          </w:rPr>
          <w:t>Convention européenne pour la prévention de la torture et des peines ou traitements inhumains ou dégradants</w:t>
        </w:r>
      </w:hyperlink>
      <w:r w:rsidRPr="00502A97">
        <w:rPr>
          <w:rFonts w:ascii="Arial" w:hAnsi="Arial" w:cs="Arial"/>
          <w:sz w:val="20"/>
          <w:szCs w:val="20"/>
        </w:rPr>
        <w:t xml:space="preserve"> (voir articles 4 et 5) ; </w:t>
      </w:r>
    </w:p>
    <w:p w14:paraId="1FDECD57" w14:textId="77777777" w:rsidR="000E0F3E" w:rsidRPr="00502A97" w:rsidRDefault="000E0F3E" w:rsidP="000E0F3E">
      <w:pPr>
        <w:jc w:val="both"/>
        <w:rPr>
          <w:rFonts w:ascii="Arial" w:hAnsi="Arial" w:cs="Arial"/>
          <w:sz w:val="20"/>
          <w:szCs w:val="20"/>
        </w:rPr>
      </w:pPr>
      <w:hyperlink r:id="rId30" w:history="1">
        <w:r>
          <w:rPr>
            <w:rStyle w:val="Hyperlink"/>
            <w:rFonts w:ascii="Arial" w:hAnsi="Arial" w:cs="Arial"/>
            <w:bCs/>
            <w:sz w:val="20"/>
            <w:szCs w:val="20"/>
          </w:rPr>
          <w:t>Recommandation 1323 (1997)</w:t>
        </w:r>
      </w:hyperlink>
      <w:r w:rsidRPr="00502A97">
        <w:rPr>
          <w:rFonts w:ascii="Arial" w:hAnsi="Arial" w:cs="Arial"/>
          <w:bCs/>
          <w:sz w:val="20"/>
          <w:szCs w:val="20"/>
        </w:rPr>
        <w:t xml:space="preserve"> </w:t>
      </w:r>
      <w:r w:rsidRPr="00502A97">
        <w:rPr>
          <w:rFonts w:ascii="Arial" w:hAnsi="Arial" w:cs="Arial"/>
          <w:bCs/>
          <w:sz w:val="20"/>
          <w:szCs w:val="20"/>
          <w:lang w:eastAsia="ko-KR"/>
        </w:rPr>
        <w:t xml:space="preserve">de l’Assemblée parlementaire </w:t>
      </w:r>
      <w:r w:rsidRPr="00502A97">
        <w:rPr>
          <w:rFonts w:ascii="Arial" w:hAnsi="Arial" w:cs="Arial"/>
          <w:bCs/>
          <w:sz w:val="20"/>
          <w:szCs w:val="20"/>
        </w:rPr>
        <w:t xml:space="preserve">relative au renforcement du mécanisme de la </w:t>
      </w:r>
      <w:r w:rsidRPr="00502A97">
        <w:rPr>
          <w:rFonts w:ascii="Arial" w:hAnsi="Arial" w:cs="Arial"/>
          <w:sz w:val="20"/>
          <w:szCs w:val="20"/>
        </w:rPr>
        <w:t xml:space="preserve">Convention européenne pour la prévention de la torture et des peines ou traitements inhumains ou dégradants </w:t>
      </w:r>
      <w:r w:rsidRPr="00502A97">
        <w:rPr>
          <w:rFonts w:ascii="Arial" w:hAnsi="Arial" w:cs="Arial"/>
          <w:bCs/>
          <w:sz w:val="20"/>
          <w:szCs w:val="20"/>
        </w:rPr>
        <w:t>(voir paragraphe 7) ;</w:t>
      </w:r>
    </w:p>
    <w:p w14:paraId="41784A50" w14:textId="77777777" w:rsidR="000E0F3E" w:rsidRPr="00502A97" w:rsidRDefault="000E0F3E" w:rsidP="000E0F3E">
      <w:pPr>
        <w:jc w:val="both"/>
        <w:rPr>
          <w:rFonts w:ascii="Arial" w:hAnsi="Arial" w:cs="Arial"/>
          <w:bCs/>
          <w:sz w:val="20"/>
          <w:szCs w:val="20"/>
        </w:rPr>
      </w:pPr>
      <w:hyperlink r:id="rId31" w:history="1">
        <w:r>
          <w:rPr>
            <w:rStyle w:val="Hyperlink"/>
            <w:rFonts w:ascii="Arial" w:hAnsi="Arial" w:cs="Arial"/>
            <w:bCs/>
            <w:sz w:val="20"/>
            <w:szCs w:val="20"/>
          </w:rPr>
          <w:t>Résolution 1248 (2001)</w:t>
        </w:r>
      </w:hyperlink>
      <w:r w:rsidRPr="00502A97">
        <w:rPr>
          <w:rFonts w:ascii="Arial" w:hAnsi="Arial" w:cs="Arial"/>
          <w:bCs/>
          <w:sz w:val="20"/>
          <w:szCs w:val="20"/>
        </w:rPr>
        <w:t xml:space="preserve"> relative au Comité européen pour la prévention de la torture (CPT) : composition du Comité (voir paragraphes 6 et 7) ;</w:t>
      </w:r>
    </w:p>
    <w:p w14:paraId="3EC7B262" w14:textId="77777777" w:rsidR="000E0F3E" w:rsidRPr="00502A97" w:rsidRDefault="000E0F3E" w:rsidP="000E0F3E">
      <w:pPr>
        <w:jc w:val="both"/>
        <w:rPr>
          <w:rFonts w:ascii="Arial" w:hAnsi="Arial" w:cs="Arial"/>
          <w:sz w:val="20"/>
          <w:szCs w:val="20"/>
        </w:rPr>
      </w:pPr>
      <w:hyperlink r:id="rId32" w:history="1">
        <w:r>
          <w:rPr>
            <w:rStyle w:val="Hyperlink"/>
            <w:rFonts w:ascii="Arial" w:hAnsi="Arial" w:cs="Arial"/>
            <w:bCs/>
            <w:sz w:val="20"/>
            <w:szCs w:val="20"/>
          </w:rPr>
          <w:t>Résolution 1540 (2007)</w:t>
        </w:r>
      </w:hyperlink>
      <w:r w:rsidRPr="00502A97">
        <w:rPr>
          <w:rFonts w:ascii="Arial" w:hAnsi="Arial" w:cs="Arial"/>
          <w:bCs/>
          <w:sz w:val="20"/>
          <w:szCs w:val="20"/>
        </w:rPr>
        <w:t xml:space="preserve"> </w:t>
      </w:r>
      <w:r w:rsidRPr="00502A97">
        <w:rPr>
          <w:rFonts w:ascii="Arial" w:hAnsi="Arial" w:cs="Arial"/>
          <w:bCs/>
          <w:sz w:val="20"/>
          <w:szCs w:val="20"/>
          <w:lang w:eastAsia="ko-KR"/>
        </w:rPr>
        <w:t>« Améliorer les procédures de sélection des membres du CPT »</w:t>
      </w:r>
      <w:r w:rsidRPr="00502A97">
        <w:rPr>
          <w:rFonts w:ascii="Arial" w:hAnsi="Arial" w:cs="Arial"/>
          <w:bCs/>
          <w:sz w:val="20"/>
          <w:szCs w:val="20"/>
        </w:rPr>
        <w:t xml:space="preserve"> (voir paragraphes 6 et 7) ;</w:t>
      </w:r>
    </w:p>
    <w:p w14:paraId="0E1332D8" w14:textId="77777777" w:rsidR="000E0F3E" w:rsidRDefault="000E0F3E" w:rsidP="000E0F3E">
      <w:pPr>
        <w:jc w:val="both"/>
        <w:rPr>
          <w:rFonts w:ascii="Arial" w:hAnsi="Arial" w:cs="Arial"/>
          <w:sz w:val="20"/>
          <w:szCs w:val="20"/>
        </w:rPr>
      </w:pPr>
      <w:hyperlink r:id="rId33" w:history="1">
        <w:r>
          <w:rPr>
            <w:rStyle w:val="Hyperlink"/>
            <w:rFonts w:ascii="Arial" w:hAnsi="Arial" w:cs="Arial"/>
            <w:sz w:val="20"/>
            <w:szCs w:val="20"/>
          </w:rPr>
          <w:t>Résolution 1808 (2011)</w:t>
        </w:r>
      </w:hyperlink>
      <w:r w:rsidRPr="00502A97">
        <w:rPr>
          <w:rFonts w:ascii="Arial" w:hAnsi="Arial" w:cs="Arial"/>
          <w:sz w:val="20"/>
          <w:szCs w:val="20"/>
        </w:rPr>
        <w:t xml:space="preserve"> </w:t>
      </w:r>
      <w:r w:rsidRPr="00502A97">
        <w:rPr>
          <w:rFonts w:ascii="Arial" w:hAnsi="Arial" w:cs="Arial"/>
          <w:bCs/>
          <w:sz w:val="20"/>
          <w:szCs w:val="20"/>
        </w:rPr>
        <w:t xml:space="preserve">« Renforcer les mécanismes de prévention de la torture en Europe » </w:t>
      </w:r>
      <w:r w:rsidRPr="00502A97">
        <w:rPr>
          <w:rFonts w:ascii="Arial" w:hAnsi="Arial" w:cs="Arial"/>
          <w:sz w:val="20"/>
          <w:szCs w:val="20"/>
        </w:rPr>
        <w:t>(voir paragraphe 4)</w:t>
      </w:r>
      <w:r>
        <w:rPr>
          <w:rFonts w:ascii="Arial" w:hAnsi="Arial" w:cs="Arial"/>
          <w:sz w:val="20"/>
          <w:szCs w:val="20"/>
        </w:rPr>
        <w:t> ;</w:t>
      </w:r>
    </w:p>
    <w:p w14:paraId="119248C3" w14:textId="77777777" w:rsidR="000E0F3E" w:rsidRPr="00502A97" w:rsidRDefault="000E0F3E" w:rsidP="000E0F3E">
      <w:pPr>
        <w:jc w:val="both"/>
        <w:rPr>
          <w:rFonts w:ascii="Arial" w:hAnsi="Arial" w:cs="Arial"/>
          <w:sz w:val="20"/>
          <w:szCs w:val="20"/>
        </w:rPr>
      </w:pPr>
      <w:hyperlink r:id="rId34" w:history="1">
        <w:r>
          <w:rPr>
            <w:rStyle w:val="Hyperlink"/>
            <w:rFonts w:ascii="Arial" w:hAnsi="Arial" w:cs="Arial"/>
            <w:sz w:val="20"/>
            <w:szCs w:val="20"/>
          </w:rPr>
          <w:t>Résolution 2160 (2017)</w:t>
        </w:r>
      </w:hyperlink>
      <w:r w:rsidRPr="00A60DCD">
        <w:rPr>
          <w:rFonts w:ascii="Arial" w:hAnsi="Arial" w:cs="Arial"/>
          <w:sz w:val="20"/>
          <w:szCs w:val="20"/>
        </w:rPr>
        <w:t xml:space="preserve"> « 25 ans du CPT : progrès accomplis et améliorations à apporter » (voir paragraphe 6).</w:t>
      </w:r>
    </w:p>
    <w:p w14:paraId="046C6053" w14:textId="77777777" w:rsidR="00395212" w:rsidRPr="000E0F3E" w:rsidRDefault="00395212" w:rsidP="00547DD0">
      <w:pPr>
        <w:rPr>
          <w:rFonts w:ascii="Arial" w:hAnsi="Arial" w:cs="Arial"/>
          <w:sz w:val="20"/>
          <w:szCs w:val="20"/>
        </w:rPr>
      </w:pPr>
      <w:bookmarkStart w:id="0" w:name="_GoBack"/>
      <w:bookmarkEnd w:id="0"/>
    </w:p>
    <w:sectPr w:rsidR="00395212" w:rsidRPr="000E0F3E" w:rsidSect="00411A71">
      <w:headerReference w:type="first" r:id="rId35"/>
      <w:type w:val="continuous"/>
      <w:pgSz w:w="11907" w:h="16840" w:code="9"/>
      <w:pgMar w:top="1440" w:right="1230" w:bottom="1440" w:left="123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4EBEF" w14:textId="77777777" w:rsidR="0056752F" w:rsidRDefault="0056752F">
      <w:r>
        <w:separator/>
      </w:r>
    </w:p>
  </w:endnote>
  <w:endnote w:type="continuationSeparator" w:id="0">
    <w:p w14:paraId="399A46CE" w14:textId="77777777" w:rsidR="0056752F" w:rsidRDefault="0056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A0780" w14:textId="77777777" w:rsidR="0056752F" w:rsidRDefault="0056752F">
      <w:r>
        <w:separator/>
      </w:r>
    </w:p>
  </w:footnote>
  <w:footnote w:type="continuationSeparator" w:id="0">
    <w:p w14:paraId="70FADED7" w14:textId="77777777" w:rsidR="0056752F" w:rsidRDefault="0056752F">
      <w:r>
        <w:continuationSeparator/>
      </w:r>
    </w:p>
  </w:footnote>
  <w:footnote w:id="1">
    <w:p w14:paraId="0733BC9A" w14:textId="77777777" w:rsidR="006A69A5" w:rsidRPr="006106B7" w:rsidRDefault="006A69A5" w:rsidP="003013B3">
      <w:pPr>
        <w:pStyle w:val="Heading5"/>
        <w:rPr>
          <w:rFonts w:ascii="Arial" w:hAnsi="Arial" w:cs="Arial"/>
          <w:color w:val="auto"/>
          <w:sz w:val="18"/>
          <w:szCs w:val="18"/>
          <w:lang w:val="en-US"/>
        </w:rPr>
      </w:pPr>
      <w:r w:rsidRPr="006106B7">
        <w:rPr>
          <w:rStyle w:val="FootnoteReference"/>
          <w:rFonts w:ascii="Arial" w:hAnsi="Arial" w:cs="Arial"/>
          <w:color w:val="auto"/>
          <w:sz w:val="18"/>
          <w:szCs w:val="18"/>
        </w:rPr>
        <w:footnoteRef/>
      </w:r>
      <w:r w:rsidRPr="006106B7">
        <w:rPr>
          <w:rFonts w:ascii="Arial" w:hAnsi="Arial" w:cs="Arial"/>
          <w:color w:val="auto"/>
          <w:sz w:val="18"/>
          <w:szCs w:val="18"/>
          <w:lang w:val="en-US"/>
        </w:rPr>
        <w:t xml:space="preserve"> Text amended according to the provisions of Protocols No. 1 (</w:t>
      </w:r>
      <w:hyperlink r:id="rId1" w:history="1">
        <w:r w:rsidRPr="006106B7">
          <w:rPr>
            <w:rStyle w:val="Hyperlink"/>
            <w:rFonts w:ascii="Arial" w:hAnsi="Arial" w:cs="Arial"/>
            <w:color w:val="auto"/>
            <w:sz w:val="18"/>
            <w:szCs w:val="18"/>
            <w:lang w:val="en-US"/>
          </w:rPr>
          <w:t>ETS No. 151</w:t>
        </w:r>
      </w:hyperlink>
      <w:r w:rsidRPr="006106B7">
        <w:rPr>
          <w:rFonts w:ascii="Arial" w:hAnsi="Arial" w:cs="Arial"/>
          <w:color w:val="auto"/>
          <w:sz w:val="18"/>
          <w:szCs w:val="18"/>
          <w:lang w:val="en-US"/>
        </w:rPr>
        <w:t>) and No. 2 (</w:t>
      </w:r>
      <w:hyperlink r:id="rId2" w:history="1">
        <w:r w:rsidRPr="006106B7">
          <w:rPr>
            <w:rStyle w:val="Hyperlink"/>
            <w:rFonts w:ascii="Arial" w:hAnsi="Arial" w:cs="Arial"/>
            <w:color w:val="auto"/>
            <w:sz w:val="18"/>
            <w:szCs w:val="18"/>
            <w:lang w:val="en-US"/>
          </w:rPr>
          <w:t>ETS No. 152</w:t>
        </w:r>
      </w:hyperlink>
      <w:r w:rsidRPr="006106B7">
        <w:rPr>
          <w:rFonts w:ascii="Arial" w:hAnsi="Arial" w:cs="Arial"/>
          <w:color w:val="auto"/>
          <w:sz w:val="18"/>
          <w:szCs w:val="18"/>
          <w:lang w:val="en-US"/>
        </w:rPr>
        <w:t>) which entered into force on 1 March 2002.</w:t>
      </w:r>
    </w:p>
    <w:p w14:paraId="66D71092" w14:textId="77777777" w:rsidR="006A69A5" w:rsidRDefault="006A69A5">
      <w:pPr>
        <w:pStyle w:val="FootnoteText"/>
        <w:rPr>
          <w:lang w:val="en-US"/>
        </w:rPr>
      </w:pPr>
    </w:p>
    <w:p w14:paraId="2E3FD0B2" w14:textId="77777777" w:rsidR="000E0F3E" w:rsidRPr="006106B7" w:rsidRDefault="000E0F3E">
      <w:pPr>
        <w:pStyle w:val="FootnoteText"/>
        <w:rPr>
          <w:lang w:val="en-US"/>
        </w:rPr>
      </w:pPr>
    </w:p>
  </w:footnote>
  <w:footnote w:id="2">
    <w:p w14:paraId="33FE0E79" w14:textId="77777777" w:rsidR="000E0F3E" w:rsidRPr="0003624F" w:rsidRDefault="000E0F3E" w:rsidP="000E0F3E">
      <w:pPr>
        <w:pStyle w:val="Heading5"/>
        <w:rPr>
          <w:rFonts w:ascii="Arial" w:hAnsi="Arial" w:cs="Arial"/>
          <w:color w:val="auto"/>
          <w:sz w:val="18"/>
          <w:szCs w:val="18"/>
        </w:rPr>
      </w:pPr>
      <w:r w:rsidRPr="0003624F">
        <w:rPr>
          <w:rStyle w:val="FootnoteReference"/>
          <w:rFonts w:ascii="Arial" w:hAnsi="Arial" w:cs="Arial"/>
          <w:color w:val="auto"/>
          <w:sz w:val="18"/>
          <w:szCs w:val="18"/>
        </w:rPr>
        <w:footnoteRef/>
      </w:r>
      <w:r w:rsidRPr="0003624F">
        <w:rPr>
          <w:rFonts w:ascii="Arial" w:hAnsi="Arial" w:cs="Arial"/>
          <w:color w:val="auto"/>
          <w:sz w:val="18"/>
          <w:szCs w:val="18"/>
        </w:rPr>
        <w:t xml:space="preserve"> Texte </w:t>
      </w:r>
      <w:r>
        <w:rPr>
          <w:rFonts w:ascii="Arial" w:hAnsi="Arial" w:cs="Arial"/>
          <w:color w:val="auto"/>
          <w:sz w:val="18"/>
          <w:szCs w:val="18"/>
        </w:rPr>
        <w:t>révisé conformément aux</w:t>
      </w:r>
      <w:r w:rsidRPr="0003624F">
        <w:rPr>
          <w:rFonts w:ascii="Arial" w:hAnsi="Arial" w:cs="Arial"/>
          <w:color w:val="auto"/>
          <w:sz w:val="18"/>
          <w:szCs w:val="18"/>
        </w:rPr>
        <w:t xml:space="preserve"> dispositions des Protocoles n° 1 (</w:t>
      </w:r>
      <w:hyperlink r:id="rId3" w:history="1">
        <w:r w:rsidRPr="0003624F">
          <w:rPr>
            <w:rStyle w:val="Hyperlink"/>
            <w:rFonts w:ascii="Arial" w:hAnsi="Arial" w:cs="Arial"/>
            <w:color w:val="auto"/>
            <w:sz w:val="18"/>
            <w:szCs w:val="18"/>
          </w:rPr>
          <w:t>STE n° 151</w:t>
        </w:r>
      </w:hyperlink>
      <w:r w:rsidRPr="0003624F">
        <w:rPr>
          <w:rFonts w:ascii="Arial" w:hAnsi="Arial" w:cs="Arial"/>
          <w:color w:val="auto"/>
          <w:sz w:val="18"/>
          <w:szCs w:val="18"/>
        </w:rPr>
        <w:t>) et n° 2 (</w:t>
      </w:r>
      <w:hyperlink r:id="rId4" w:history="1">
        <w:r w:rsidRPr="0003624F">
          <w:rPr>
            <w:rStyle w:val="Hyperlink"/>
            <w:rFonts w:ascii="Arial" w:hAnsi="Arial" w:cs="Arial"/>
            <w:color w:val="auto"/>
            <w:sz w:val="18"/>
            <w:szCs w:val="18"/>
          </w:rPr>
          <w:t>STE n° 152</w:t>
        </w:r>
      </w:hyperlink>
      <w:r w:rsidRPr="0003624F">
        <w:rPr>
          <w:rFonts w:ascii="Arial" w:hAnsi="Arial" w:cs="Arial"/>
          <w:color w:val="auto"/>
          <w:sz w:val="18"/>
          <w:szCs w:val="18"/>
        </w:rPr>
        <w:t xml:space="preserve">) </w:t>
      </w:r>
      <w:r>
        <w:rPr>
          <w:rFonts w:ascii="Arial" w:hAnsi="Arial" w:cs="Arial"/>
          <w:color w:val="auto"/>
          <w:sz w:val="18"/>
          <w:szCs w:val="18"/>
        </w:rPr>
        <w:t>qui sont entrés en vigueur le</w:t>
      </w:r>
      <w:r w:rsidRPr="0003624F">
        <w:rPr>
          <w:rFonts w:ascii="Arial" w:hAnsi="Arial" w:cs="Arial"/>
          <w:color w:val="auto"/>
          <w:sz w:val="18"/>
          <w:szCs w:val="18"/>
        </w:rPr>
        <w:t xml:space="preserve"> 1</w:t>
      </w:r>
      <w:r w:rsidRPr="0003624F">
        <w:rPr>
          <w:rFonts w:ascii="Arial" w:hAnsi="Arial" w:cs="Arial"/>
          <w:color w:val="auto"/>
          <w:sz w:val="18"/>
          <w:szCs w:val="18"/>
          <w:vertAlign w:val="superscript"/>
        </w:rPr>
        <w:t>er</w:t>
      </w:r>
      <w:r w:rsidRPr="0003624F">
        <w:rPr>
          <w:rFonts w:ascii="Arial" w:hAnsi="Arial" w:cs="Arial"/>
          <w:color w:val="auto"/>
          <w:sz w:val="18"/>
          <w:szCs w:val="18"/>
        </w:rPr>
        <w:t xml:space="preserve"> mars 2002.</w:t>
      </w:r>
    </w:p>
    <w:p w14:paraId="347E0330" w14:textId="77777777" w:rsidR="000E0F3E" w:rsidRPr="0003624F" w:rsidRDefault="000E0F3E" w:rsidP="000E0F3E">
      <w:pPr>
        <w:pStyle w:val="Footnote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70ED5" w14:textId="77777777" w:rsidR="007F47AA" w:rsidRDefault="007F47AA" w:rsidP="00411A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0E10"/>
    <w:multiLevelType w:val="hybridMultilevel"/>
    <w:tmpl w:val="D4C65850"/>
    <w:lvl w:ilvl="0" w:tplc="A6BABC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C2C4E"/>
    <w:multiLevelType w:val="hybridMultilevel"/>
    <w:tmpl w:val="B66E0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71"/>
    <w:rsid w:val="00022C7C"/>
    <w:rsid w:val="00024D78"/>
    <w:rsid w:val="0007747D"/>
    <w:rsid w:val="000A6FB9"/>
    <w:rsid w:val="000B2D92"/>
    <w:rsid w:val="000E0F3E"/>
    <w:rsid w:val="00115C28"/>
    <w:rsid w:val="00160284"/>
    <w:rsid w:val="001627C6"/>
    <w:rsid w:val="00163D34"/>
    <w:rsid w:val="001B62FC"/>
    <w:rsid w:val="001B6B16"/>
    <w:rsid w:val="001E041B"/>
    <w:rsid w:val="00223EA6"/>
    <w:rsid w:val="00230099"/>
    <w:rsid w:val="0029188E"/>
    <w:rsid w:val="0029785F"/>
    <w:rsid w:val="00300A60"/>
    <w:rsid w:val="003013B3"/>
    <w:rsid w:val="003508C5"/>
    <w:rsid w:val="00375C78"/>
    <w:rsid w:val="003771EE"/>
    <w:rsid w:val="00381232"/>
    <w:rsid w:val="00392F17"/>
    <w:rsid w:val="00395212"/>
    <w:rsid w:val="003A3C09"/>
    <w:rsid w:val="003B7359"/>
    <w:rsid w:val="003D2457"/>
    <w:rsid w:val="003E038A"/>
    <w:rsid w:val="0040056C"/>
    <w:rsid w:val="0040211D"/>
    <w:rsid w:val="004031C5"/>
    <w:rsid w:val="00411A71"/>
    <w:rsid w:val="004571E9"/>
    <w:rsid w:val="00457450"/>
    <w:rsid w:val="0046026E"/>
    <w:rsid w:val="004A12CA"/>
    <w:rsid w:val="004A1FD1"/>
    <w:rsid w:val="004C6A05"/>
    <w:rsid w:val="004D2694"/>
    <w:rsid w:val="004F676B"/>
    <w:rsid w:val="005207A8"/>
    <w:rsid w:val="00527A6D"/>
    <w:rsid w:val="00542D8D"/>
    <w:rsid w:val="00547DD0"/>
    <w:rsid w:val="0056752F"/>
    <w:rsid w:val="00573E8D"/>
    <w:rsid w:val="00583D27"/>
    <w:rsid w:val="00587F5F"/>
    <w:rsid w:val="005912D9"/>
    <w:rsid w:val="005A13B4"/>
    <w:rsid w:val="005B3448"/>
    <w:rsid w:val="005D04EA"/>
    <w:rsid w:val="005F5188"/>
    <w:rsid w:val="00604DE0"/>
    <w:rsid w:val="006106B7"/>
    <w:rsid w:val="00620214"/>
    <w:rsid w:val="00631321"/>
    <w:rsid w:val="006318B2"/>
    <w:rsid w:val="00643C65"/>
    <w:rsid w:val="00643D71"/>
    <w:rsid w:val="00647CCC"/>
    <w:rsid w:val="006644B9"/>
    <w:rsid w:val="00666E40"/>
    <w:rsid w:val="00696872"/>
    <w:rsid w:val="006A69A5"/>
    <w:rsid w:val="006D758E"/>
    <w:rsid w:val="00703332"/>
    <w:rsid w:val="0070600F"/>
    <w:rsid w:val="00723288"/>
    <w:rsid w:val="00747D23"/>
    <w:rsid w:val="007715BF"/>
    <w:rsid w:val="007761C2"/>
    <w:rsid w:val="00786FFC"/>
    <w:rsid w:val="007A579B"/>
    <w:rsid w:val="007B5D7C"/>
    <w:rsid w:val="007D1F87"/>
    <w:rsid w:val="007E17C3"/>
    <w:rsid w:val="007F473D"/>
    <w:rsid w:val="007F47AA"/>
    <w:rsid w:val="008138EF"/>
    <w:rsid w:val="00850F2C"/>
    <w:rsid w:val="00851CBC"/>
    <w:rsid w:val="00860E71"/>
    <w:rsid w:val="00880CE8"/>
    <w:rsid w:val="0088257E"/>
    <w:rsid w:val="008C4D9B"/>
    <w:rsid w:val="008F01E1"/>
    <w:rsid w:val="009066A9"/>
    <w:rsid w:val="00943922"/>
    <w:rsid w:val="00946995"/>
    <w:rsid w:val="009558DA"/>
    <w:rsid w:val="009636EB"/>
    <w:rsid w:val="00976A41"/>
    <w:rsid w:val="00983B93"/>
    <w:rsid w:val="009A2CB9"/>
    <w:rsid w:val="009A56E9"/>
    <w:rsid w:val="009A6EFD"/>
    <w:rsid w:val="009B67A7"/>
    <w:rsid w:val="009D2CDB"/>
    <w:rsid w:val="009D5D33"/>
    <w:rsid w:val="009D5F96"/>
    <w:rsid w:val="009F51DD"/>
    <w:rsid w:val="00A042EB"/>
    <w:rsid w:val="00A41A39"/>
    <w:rsid w:val="00A63506"/>
    <w:rsid w:val="00A65CA9"/>
    <w:rsid w:val="00A71470"/>
    <w:rsid w:val="00A8020F"/>
    <w:rsid w:val="00AE1917"/>
    <w:rsid w:val="00AF13E5"/>
    <w:rsid w:val="00AF3E26"/>
    <w:rsid w:val="00B14092"/>
    <w:rsid w:val="00B33B36"/>
    <w:rsid w:val="00B3567E"/>
    <w:rsid w:val="00B51B36"/>
    <w:rsid w:val="00B65C1F"/>
    <w:rsid w:val="00BD5CC6"/>
    <w:rsid w:val="00C04FB6"/>
    <w:rsid w:val="00C07410"/>
    <w:rsid w:val="00C1316B"/>
    <w:rsid w:val="00C16163"/>
    <w:rsid w:val="00C23842"/>
    <w:rsid w:val="00C23C54"/>
    <w:rsid w:val="00C3452B"/>
    <w:rsid w:val="00C356CC"/>
    <w:rsid w:val="00C4583E"/>
    <w:rsid w:val="00C620C5"/>
    <w:rsid w:val="00C65590"/>
    <w:rsid w:val="00C800EC"/>
    <w:rsid w:val="00C8226E"/>
    <w:rsid w:val="00C83729"/>
    <w:rsid w:val="00CB1BB8"/>
    <w:rsid w:val="00CC03F1"/>
    <w:rsid w:val="00D10B07"/>
    <w:rsid w:val="00D1437B"/>
    <w:rsid w:val="00D27029"/>
    <w:rsid w:val="00D65744"/>
    <w:rsid w:val="00DB3415"/>
    <w:rsid w:val="00DB4797"/>
    <w:rsid w:val="00E01391"/>
    <w:rsid w:val="00E15665"/>
    <w:rsid w:val="00E17356"/>
    <w:rsid w:val="00E223DE"/>
    <w:rsid w:val="00E33C8E"/>
    <w:rsid w:val="00E46BD7"/>
    <w:rsid w:val="00EF3110"/>
    <w:rsid w:val="00F60802"/>
    <w:rsid w:val="00F646FB"/>
    <w:rsid w:val="00F73C1D"/>
    <w:rsid w:val="00F808C1"/>
    <w:rsid w:val="00F91618"/>
    <w:rsid w:val="00F92CD9"/>
    <w:rsid w:val="00F967D9"/>
    <w:rsid w:val="00FA5103"/>
    <w:rsid w:val="00FA628F"/>
    <w:rsid w:val="00FC0077"/>
    <w:rsid w:val="00FC222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D0"/>
    <w:rPr>
      <w:sz w:val="24"/>
      <w:szCs w:val="24"/>
      <w:lang w:val="fr-FR" w:eastAsia="fr-FR"/>
    </w:rPr>
  </w:style>
  <w:style w:type="paragraph" w:styleId="Heading1">
    <w:name w:val="heading 1"/>
    <w:basedOn w:val="Normal"/>
    <w:next w:val="Normal"/>
    <w:link w:val="Heading1Char"/>
    <w:qFormat/>
    <w:rsid w:val="00E33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6A69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A71"/>
    <w:pPr>
      <w:tabs>
        <w:tab w:val="center" w:pos="4320"/>
        <w:tab w:val="right" w:pos="8640"/>
      </w:tabs>
    </w:pPr>
  </w:style>
  <w:style w:type="paragraph" w:styleId="Footer">
    <w:name w:val="footer"/>
    <w:basedOn w:val="Normal"/>
    <w:rsid w:val="00411A71"/>
    <w:pPr>
      <w:tabs>
        <w:tab w:val="center" w:pos="4320"/>
        <w:tab w:val="right" w:pos="8640"/>
      </w:tabs>
    </w:pPr>
  </w:style>
  <w:style w:type="table" w:styleId="TableGrid">
    <w:name w:val="Table Grid"/>
    <w:basedOn w:val="TableNormal"/>
    <w:rsid w:val="0041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1A71"/>
    <w:rPr>
      <w:color w:val="0000FF"/>
      <w:u w:val="single"/>
    </w:rPr>
  </w:style>
  <w:style w:type="character" w:styleId="Strong">
    <w:name w:val="Strong"/>
    <w:basedOn w:val="DefaultParagraphFont"/>
    <w:qFormat/>
    <w:rsid w:val="00547DD0"/>
    <w:rPr>
      <w:b/>
      <w:bCs/>
    </w:rPr>
  </w:style>
  <w:style w:type="character" w:styleId="FollowedHyperlink">
    <w:name w:val="FollowedHyperlink"/>
    <w:basedOn w:val="DefaultParagraphFont"/>
    <w:rsid w:val="00547DD0"/>
    <w:rPr>
      <w:color w:val="800080"/>
      <w:u w:val="single"/>
    </w:rPr>
  </w:style>
  <w:style w:type="paragraph" w:styleId="BalloonText">
    <w:name w:val="Balloon Text"/>
    <w:basedOn w:val="Normal"/>
    <w:link w:val="BalloonTextChar"/>
    <w:rsid w:val="0040056C"/>
    <w:rPr>
      <w:rFonts w:ascii="Tahoma" w:hAnsi="Tahoma" w:cs="Tahoma"/>
      <w:sz w:val="16"/>
      <w:szCs w:val="16"/>
    </w:rPr>
  </w:style>
  <w:style w:type="character" w:customStyle="1" w:styleId="BalloonTextChar">
    <w:name w:val="Balloon Text Char"/>
    <w:basedOn w:val="DefaultParagraphFont"/>
    <w:link w:val="BalloonText"/>
    <w:rsid w:val="0040056C"/>
    <w:rPr>
      <w:rFonts w:ascii="Tahoma" w:hAnsi="Tahoma" w:cs="Tahoma"/>
      <w:sz w:val="16"/>
      <w:szCs w:val="16"/>
      <w:lang w:val="fr-FR" w:eastAsia="fr-FR"/>
    </w:rPr>
  </w:style>
  <w:style w:type="paragraph" w:styleId="NormalWeb">
    <w:name w:val="Normal (Web)"/>
    <w:basedOn w:val="Normal"/>
    <w:rsid w:val="00395212"/>
    <w:pPr>
      <w:spacing w:before="100" w:beforeAutospacing="1" w:after="100" w:afterAutospacing="1"/>
    </w:pPr>
    <w:rPr>
      <w:rFonts w:ascii="Verdana" w:hAnsi="Verdana"/>
      <w:sz w:val="17"/>
      <w:szCs w:val="17"/>
      <w:lang w:val="en-US" w:eastAsia="en-US"/>
    </w:rPr>
  </w:style>
  <w:style w:type="paragraph" w:styleId="ListParagraph">
    <w:name w:val="List Paragraph"/>
    <w:basedOn w:val="Normal"/>
    <w:uiPriority w:val="34"/>
    <w:qFormat/>
    <w:rsid w:val="00F91618"/>
    <w:pPr>
      <w:ind w:left="720"/>
      <w:contextualSpacing/>
    </w:pPr>
  </w:style>
  <w:style w:type="character" w:styleId="FootnoteReference">
    <w:name w:val="footnote reference"/>
    <w:basedOn w:val="DefaultParagraphFont"/>
    <w:rsid w:val="00C8226E"/>
    <w:rPr>
      <w:vertAlign w:val="superscript"/>
    </w:rPr>
  </w:style>
  <w:style w:type="paragraph" w:styleId="FootnoteText">
    <w:name w:val="footnote text"/>
    <w:basedOn w:val="Normal"/>
    <w:link w:val="FootnoteTextChar"/>
    <w:rsid w:val="00C8226E"/>
    <w:pPr>
      <w:widowControl w:val="0"/>
      <w:spacing w:line="360" w:lineRule="atLeast"/>
    </w:pPr>
    <w:rPr>
      <w:rFonts w:ascii="Arial" w:hAnsi="Arial"/>
      <w:snapToGrid w:val="0"/>
      <w:sz w:val="20"/>
      <w:szCs w:val="20"/>
      <w:lang w:val="en-GB" w:eastAsia="en-US"/>
    </w:rPr>
  </w:style>
  <w:style w:type="character" w:customStyle="1" w:styleId="FootnoteTextChar">
    <w:name w:val="Footnote Text Char"/>
    <w:basedOn w:val="DefaultParagraphFont"/>
    <w:link w:val="FootnoteText"/>
    <w:rsid w:val="00C8226E"/>
    <w:rPr>
      <w:rFonts w:ascii="Arial" w:hAnsi="Arial"/>
      <w:snapToGrid w:val="0"/>
      <w:lang w:eastAsia="en-US"/>
    </w:rPr>
  </w:style>
  <w:style w:type="character" w:customStyle="1" w:styleId="Heading1Char">
    <w:name w:val="Heading 1 Char"/>
    <w:basedOn w:val="DefaultParagraphFont"/>
    <w:link w:val="Heading1"/>
    <w:rsid w:val="00E33C8E"/>
    <w:rPr>
      <w:rFonts w:asciiTheme="majorHAnsi" w:eastAsiaTheme="majorEastAsia" w:hAnsiTheme="majorHAnsi" w:cstheme="majorBidi"/>
      <w:b/>
      <w:bCs/>
      <w:color w:val="365F91" w:themeColor="accent1" w:themeShade="BF"/>
      <w:sz w:val="28"/>
      <w:szCs w:val="28"/>
      <w:lang w:val="fr-FR" w:eastAsia="fr-FR"/>
    </w:rPr>
  </w:style>
  <w:style w:type="character" w:styleId="Emphasis">
    <w:name w:val="Emphasis"/>
    <w:basedOn w:val="DefaultParagraphFont"/>
    <w:qFormat/>
    <w:rsid w:val="00E33C8E"/>
    <w:rPr>
      <w:i/>
      <w:iCs/>
    </w:rPr>
  </w:style>
  <w:style w:type="character" w:customStyle="1" w:styleId="Heading5Char">
    <w:name w:val="Heading 5 Char"/>
    <w:basedOn w:val="DefaultParagraphFont"/>
    <w:link w:val="Heading5"/>
    <w:semiHidden/>
    <w:rsid w:val="006A69A5"/>
    <w:rPr>
      <w:rFonts w:asciiTheme="majorHAnsi" w:eastAsiaTheme="majorEastAsia" w:hAnsiTheme="majorHAnsi" w:cstheme="majorBidi"/>
      <w:color w:val="243F60" w:themeColor="accent1" w:themeShade="7F"/>
      <w:sz w:val="24"/>
      <w:szCs w:val="24"/>
      <w:lang w:val="fr-FR" w:eastAsia="fr-FR"/>
    </w:rPr>
  </w:style>
  <w:style w:type="paragraph" w:customStyle="1" w:styleId="Default">
    <w:name w:val="Default"/>
    <w:rsid w:val="006A69A5"/>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D0"/>
    <w:rPr>
      <w:sz w:val="24"/>
      <w:szCs w:val="24"/>
      <w:lang w:val="fr-FR" w:eastAsia="fr-FR"/>
    </w:rPr>
  </w:style>
  <w:style w:type="paragraph" w:styleId="Heading1">
    <w:name w:val="heading 1"/>
    <w:basedOn w:val="Normal"/>
    <w:next w:val="Normal"/>
    <w:link w:val="Heading1Char"/>
    <w:qFormat/>
    <w:rsid w:val="00E33C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semiHidden/>
    <w:unhideWhenUsed/>
    <w:qFormat/>
    <w:rsid w:val="006A69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A71"/>
    <w:pPr>
      <w:tabs>
        <w:tab w:val="center" w:pos="4320"/>
        <w:tab w:val="right" w:pos="8640"/>
      </w:tabs>
    </w:pPr>
  </w:style>
  <w:style w:type="paragraph" w:styleId="Footer">
    <w:name w:val="footer"/>
    <w:basedOn w:val="Normal"/>
    <w:rsid w:val="00411A71"/>
    <w:pPr>
      <w:tabs>
        <w:tab w:val="center" w:pos="4320"/>
        <w:tab w:val="right" w:pos="8640"/>
      </w:tabs>
    </w:pPr>
  </w:style>
  <w:style w:type="table" w:styleId="TableGrid">
    <w:name w:val="Table Grid"/>
    <w:basedOn w:val="TableNormal"/>
    <w:rsid w:val="0041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11A71"/>
    <w:rPr>
      <w:color w:val="0000FF"/>
      <w:u w:val="single"/>
    </w:rPr>
  </w:style>
  <w:style w:type="character" w:styleId="Strong">
    <w:name w:val="Strong"/>
    <w:basedOn w:val="DefaultParagraphFont"/>
    <w:qFormat/>
    <w:rsid w:val="00547DD0"/>
    <w:rPr>
      <w:b/>
      <w:bCs/>
    </w:rPr>
  </w:style>
  <w:style w:type="character" w:styleId="FollowedHyperlink">
    <w:name w:val="FollowedHyperlink"/>
    <w:basedOn w:val="DefaultParagraphFont"/>
    <w:rsid w:val="00547DD0"/>
    <w:rPr>
      <w:color w:val="800080"/>
      <w:u w:val="single"/>
    </w:rPr>
  </w:style>
  <w:style w:type="paragraph" w:styleId="BalloonText">
    <w:name w:val="Balloon Text"/>
    <w:basedOn w:val="Normal"/>
    <w:link w:val="BalloonTextChar"/>
    <w:rsid w:val="0040056C"/>
    <w:rPr>
      <w:rFonts w:ascii="Tahoma" w:hAnsi="Tahoma" w:cs="Tahoma"/>
      <w:sz w:val="16"/>
      <w:szCs w:val="16"/>
    </w:rPr>
  </w:style>
  <w:style w:type="character" w:customStyle="1" w:styleId="BalloonTextChar">
    <w:name w:val="Balloon Text Char"/>
    <w:basedOn w:val="DefaultParagraphFont"/>
    <w:link w:val="BalloonText"/>
    <w:rsid w:val="0040056C"/>
    <w:rPr>
      <w:rFonts w:ascii="Tahoma" w:hAnsi="Tahoma" w:cs="Tahoma"/>
      <w:sz w:val="16"/>
      <w:szCs w:val="16"/>
      <w:lang w:val="fr-FR" w:eastAsia="fr-FR"/>
    </w:rPr>
  </w:style>
  <w:style w:type="paragraph" w:styleId="NormalWeb">
    <w:name w:val="Normal (Web)"/>
    <w:basedOn w:val="Normal"/>
    <w:rsid w:val="00395212"/>
    <w:pPr>
      <w:spacing w:before="100" w:beforeAutospacing="1" w:after="100" w:afterAutospacing="1"/>
    </w:pPr>
    <w:rPr>
      <w:rFonts w:ascii="Verdana" w:hAnsi="Verdana"/>
      <w:sz w:val="17"/>
      <w:szCs w:val="17"/>
      <w:lang w:val="en-US" w:eastAsia="en-US"/>
    </w:rPr>
  </w:style>
  <w:style w:type="paragraph" w:styleId="ListParagraph">
    <w:name w:val="List Paragraph"/>
    <w:basedOn w:val="Normal"/>
    <w:uiPriority w:val="34"/>
    <w:qFormat/>
    <w:rsid w:val="00F91618"/>
    <w:pPr>
      <w:ind w:left="720"/>
      <w:contextualSpacing/>
    </w:pPr>
  </w:style>
  <w:style w:type="character" w:styleId="FootnoteReference">
    <w:name w:val="footnote reference"/>
    <w:basedOn w:val="DefaultParagraphFont"/>
    <w:rsid w:val="00C8226E"/>
    <w:rPr>
      <w:vertAlign w:val="superscript"/>
    </w:rPr>
  </w:style>
  <w:style w:type="paragraph" w:styleId="FootnoteText">
    <w:name w:val="footnote text"/>
    <w:basedOn w:val="Normal"/>
    <w:link w:val="FootnoteTextChar"/>
    <w:rsid w:val="00C8226E"/>
    <w:pPr>
      <w:widowControl w:val="0"/>
      <w:spacing w:line="360" w:lineRule="atLeast"/>
    </w:pPr>
    <w:rPr>
      <w:rFonts w:ascii="Arial" w:hAnsi="Arial"/>
      <w:snapToGrid w:val="0"/>
      <w:sz w:val="20"/>
      <w:szCs w:val="20"/>
      <w:lang w:val="en-GB" w:eastAsia="en-US"/>
    </w:rPr>
  </w:style>
  <w:style w:type="character" w:customStyle="1" w:styleId="FootnoteTextChar">
    <w:name w:val="Footnote Text Char"/>
    <w:basedOn w:val="DefaultParagraphFont"/>
    <w:link w:val="FootnoteText"/>
    <w:rsid w:val="00C8226E"/>
    <w:rPr>
      <w:rFonts w:ascii="Arial" w:hAnsi="Arial"/>
      <w:snapToGrid w:val="0"/>
      <w:lang w:eastAsia="en-US"/>
    </w:rPr>
  </w:style>
  <w:style w:type="character" w:customStyle="1" w:styleId="Heading1Char">
    <w:name w:val="Heading 1 Char"/>
    <w:basedOn w:val="DefaultParagraphFont"/>
    <w:link w:val="Heading1"/>
    <w:rsid w:val="00E33C8E"/>
    <w:rPr>
      <w:rFonts w:asciiTheme="majorHAnsi" w:eastAsiaTheme="majorEastAsia" w:hAnsiTheme="majorHAnsi" w:cstheme="majorBidi"/>
      <w:b/>
      <w:bCs/>
      <w:color w:val="365F91" w:themeColor="accent1" w:themeShade="BF"/>
      <w:sz w:val="28"/>
      <w:szCs w:val="28"/>
      <w:lang w:val="fr-FR" w:eastAsia="fr-FR"/>
    </w:rPr>
  </w:style>
  <w:style w:type="character" w:styleId="Emphasis">
    <w:name w:val="Emphasis"/>
    <w:basedOn w:val="DefaultParagraphFont"/>
    <w:qFormat/>
    <w:rsid w:val="00E33C8E"/>
    <w:rPr>
      <w:i/>
      <w:iCs/>
    </w:rPr>
  </w:style>
  <w:style w:type="character" w:customStyle="1" w:styleId="Heading5Char">
    <w:name w:val="Heading 5 Char"/>
    <w:basedOn w:val="DefaultParagraphFont"/>
    <w:link w:val="Heading5"/>
    <w:semiHidden/>
    <w:rsid w:val="006A69A5"/>
    <w:rPr>
      <w:rFonts w:asciiTheme="majorHAnsi" w:eastAsiaTheme="majorEastAsia" w:hAnsiTheme="majorHAnsi" w:cstheme="majorBidi"/>
      <w:color w:val="243F60" w:themeColor="accent1" w:themeShade="7F"/>
      <w:sz w:val="24"/>
      <w:szCs w:val="24"/>
      <w:lang w:val="fr-FR" w:eastAsia="fr-FR"/>
    </w:rPr>
  </w:style>
  <w:style w:type="paragraph" w:customStyle="1" w:styleId="Default">
    <w:name w:val="Default"/>
    <w:rsid w:val="006A69A5"/>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9073">
      <w:bodyDiv w:val="1"/>
      <w:marLeft w:val="0"/>
      <w:marRight w:val="0"/>
      <w:marTop w:val="270"/>
      <w:marBottom w:val="0"/>
      <w:divBdr>
        <w:top w:val="none" w:sz="0" w:space="0" w:color="auto"/>
        <w:left w:val="none" w:sz="0" w:space="0" w:color="auto"/>
        <w:bottom w:val="none" w:sz="0" w:space="0" w:color="auto"/>
        <w:right w:val="none" w:sz="0" w:space="0" w:color="auto"/>
      </w:divBdr>
    </w:div>
    <w:div w:id="6131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sembly.coe.int/nw/xml/XRef/X2H-Xref-ViewPDF.asp?FileID=16915&amp;lang=en" TargetMode="External"/><Relationship Id="rId18" Type="http://schemas.openxmlformats.org/officeDocument/2006/relationships/hyperlink" Target="http://assembly.coe.int/nw/xml/XRef/X2H-Xref-ViewPDF.asp?FileID=16915&amp;lang=en" TargetMode="External"/><Relationship Id="rId26" Type="http://schemas.openxmlformats.org/officeDocument/2006/relationships/hyperlink" Target="http://assembly.coe.int/nw/xml/XRef/Xref-DocDetails-FR.asp?fileid=16915" TargetMode="External"/><Relationship Id="rId3" Type="http://schemas.openxmlformats.org/officeDocument/2006/relationships/styles" Target="styles.xml"/><Relationship Id="rId21" Type="http://schemas.openxmlformats.org/officeDocument/2006/relationships/hyperlink" Target="http://assembly.coe.int/nw/xml/XRef/Xref-DocDetails-EN.asp?fileid=23712" TargetMode="External"/><Relationship Id="rId34" Type="http://schemas.openxmlformats.org/officeDocument/2006/relationships/hyperlink" Target="http://assembly.coe.int/nw/xml/XRef/Xref-DocDetails-FR.asp?fileid=23712" TargetMode="External"/><Relationship Id="rId7" Type="http://schemas.openxmlformats.org/officeDocument/2006/relationships/footnotes" Target="footnotes.xml"/><Relationship Id="rId12" Type="http://schemas.openxmlformats.org/officeDocument/2006/relationships/hyperlink" Target="http://semantic-pace.net/tools/pdf.aspx?doc=aHR0cDovL2Fzc2VtYmx5LmNvZS5pbnQvbncveG1sL1hSZWYvWDJILURXLWV4dHIuYXNwP2ZpbGVpZD0yMzcxMiZsYW5nPUVO&amp;xsl=aHR0cDovL3NlbWFudGljcGFjZS5uZXQvWHNsdC9QZGYvWFJlZi1XRC1BVC1YTUwyUERGLnhzbA==&amp;xsltparams=ZmlsZWlkPTIzNzEy" TargetMode="External"/><Relationship Id="rId17" Type="http://schemas.openxmlformats.org/officeDocument/2006/relationships/hyperlink" Target="http://assembly.coe.int/nw/xml/XRef/X2H-Xref-ViewPDF.asp?FileID=15357&amp;lang=en" TargetMode="External"/><Relationship Id="rId25" Type="http://schemas.openxmlformats.org/officeDocument/2006/relationships/hyperlink" Target="http://assembly.coe.int/nw/xml/XRef/X2H-Xref-ViewPDF.asp?FileID=23712&amp;lang=fr" TargetMode="External"/><Relationship Id="rId33" Type="http://schemas.openxmlformats.org/officeDocument/2006/relationships/hyperlink" Target="http://assembly.coe.int/nw/xml/XRef/Xref-DocDetails-FR.asp?fileid=17988" TargetMode="External"/><Relationship Id="rId2" Type="http://schemas.openxmlformats.org/officeDocument/2006/relationships/numbering" Target="numbering.xml"/><Relationship Id="rId16" Type="http://schemas.openxmlformats.org/officeDocument/2006/relationships/hyperlink" Target="http://www.cpt.coe.int/en/documents/eng-convention.pdf" TargetMode="External"/><Relationship Id="rId20" Type="http://schemas.openxmlformats.org/officeDocument/2006/relationships/hyperlink" Target="http://assembly.coe.int/nw/xml/XRef/X2H-Xref-ViewPDF.asp?FileID=17988&amp;lang=en" TargetMode="External"/><Relationship Id="rId29" Type="http://schemas.openxmlformats.org/officeDocument/2006/relationships/hyperlink" Target="http://www.cpt.coe.int/fr/documents/fra-conven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ntic-pace.net/tools/pdf.aspx?doc=aHR0cDovL2Fzc2VtYmx5LmNvZS5pbnQvbncveG1sL1hSZWYvWDJILURXLWV4dHIuYXNwP2ZpbGVpZD0xNzUyMiZsYW5nPUVO&amp;xsl=aHR0cDovL3NlbWFudGljcGFjZS5uZXQvWHNsdC9QZGYvWFJlZi1XRC1BVC1YTUwyUERGLnhzbA==&amp;xsltparams=ZmlsZWlkPTE3NTIy" TargetMode="External"/><Relationship Id="rId24" Type="http://schemas.openxmlformats.org/officeDocument/2006/relationships/hyperlink" Target="http://assembly.coe.int/nw/xml/XRef/X2H-Xref-ViewPDF.asp?FileID=17522&amp;lang=fr" TargetMode="External"/><Relationship Id="rId32" Type="http://schemas.openxmlformats.org/officeDocument/2006/relationships/hyperlink" Target="http://assembly.coe.int/nw/xml/XRef/Xref-DocDetails-FR.asp?fileid=1752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mantic-pace.net/tools/pdf.aspx?doc=aHR0cDovL2Fzc2VtYmx5LmNvZS5pbnQvbncveG1sL1hSZWYvWDJILURXLWV4dHIuYXNwP2ZpbGVpZD0yMzcxMiZsYW5nPUVO&amp;xsl=aHR0cDovL3NlbWFudGljcGFjZS5uZXQvWHNsdC9QZGYvWFJlZi1XRC1BVC1YTUwyUERGLnhzbA==&amp;xsltparams=ZmlsZWlkPTIzNzEy" TargetMode="External"/><Relationship Id="rId23" Type="http://schemas.openxmlformats.org/officeDocument/2006/relationships/hyperlink" Target="http://assembly.coe.int/nw/xml/XRef/Xref-DocDetails-FR.asp?fileid=16915" TargetMode="External"/><Relationship Id="rId28" Type="http://schemas.openxmlformats.org/officeDocument/2006/relationships/hyperlink" Target="http://assembly.coe.int/nw/xml/XRef/X2H-Xref-ViewPDF.asp?FileID=23712&amp;lang=fr" TargetMode="External"/><Relationship Id="rId36" Type="http://schemas.openxmlformats.org/officeDocument/2006/relationships/fontTable" Target="fontTable.xml"/><Relationship Id="rId10" Type="http://schemas.openxmlformats.org/officeDocument/2006/relationships/hyperlink" Target="http://assembly.coe.int/nw/xml/XRef/Xref-DocDetails-EN.asp?fileid=16915" TargetMode="External"/><Relationship Id="rId19" Type="http://schemas.openxmlformats.org/officeDocument/2006/relationships/hyperlink" Target="http://assembly.coe.int/nw/xml/XRef/X2H-Xref-ViewPDF.asp?FileID=17522&amp;lang=en" TargetMode="External"/><Relationship Id="rId31" Type="http://schemas.openxmlformats.org/officeDocument/2006/relationships/hyperlink" Target="http://assembly.coe.int/nw/xml/XRef/Xref-DocDetails-FR.asp?fileid=16915" TargetMode="External"/><Relationship Id="rId4" Type="http://schemas.microsoft.com/office/2007/relationships/stylesWithEffects" Target="stylesWithEffects.xml"/><Relationship Id="rId9" Type="http://schemas.openxmlformats.org/officeDocument/2006/relationships/hyperlink" Target="http://www.cpt.coe.int/en/documents/eng-convention.pdf" TargetMode="External"/><Relationship Id="rId14" Type="http://schemas.openxmlformats.org/officeDocument/2006/relationships/hyperlink" Target="http://assembly.coe.int/nw/xml/XRef/X2H-Xref-ViewPDF.asp?FileID=17522&amp;lang=en" TargetMode="External"/><Relationship Id="rId22" Type="http://schemas.openxmlformats.org/officeDocument/2006/relationships/hyperlink" Target="http://www.cpt.coe.int/fr/documents/fra-convention.pdf" TargetMode="External"/><Relationship Id="rId27" Type="http://schemas.openxmlformats.org/officeDocument/2006/relationships/hyperlink" Target="http://assembly.coe.int/nw/xml/XRef/X2H-Xref-ViewPDF.asp?FileID=17522&amp;lang=fr" TargetMode="External"/><Relationship Id="rId30" Type="http://schemas.openxmlformats.org/officeDocument/2006/relationships/hyperlink" Target="http://assembly.coe.int/nw/xml/XRef/Xref-DocDetails-FR.asp?fileid=15357"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nventions.coe.int/Treaty/en/Treaties/Html/151.htm" TargetMode="External"/><Relationship Id="rId2" Type="http://schemas.openxmlformats.org/officeDocument/2006/relationships/hyperlink" Target="http://conventions.coe.int/Treaty/en/Treaties/Html/152.htm" TargetMode="External"/><Relationship Id="rId1" Type="http://schemas.openxmlformats.org/officeDocument/2006/relationships/hyperlink" Target="http://conventions.coe.int/Treaty/en/Treaties/Html/151.htm" TargetMode="External"/><Relationship Id="rId4" Type="http://schemas.openxmlformats.org/officeDocument/2006/relationships/hyperlink" Target="http://conventions.coe.int/Treaty/en/Treaties/Html/1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D8C0-A284-4EDC-8BDE-7D34D645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8214</CharactersWithSpaces>
  <SharedDoc>false</SharedDoc>
  <HLinks>
    <vt:vector size="30" baseType="variant">
      <vt:variant>
        <vt:i4>5701674</vt:i4>
      </vt:variant>
      <vt:variant>
        <vt:i4>12</vt:i4>
      </vt:variant>
      <vt:variant>
        <vt:i4>0</vt:i4>
      </vt:variant>
      <vt:variant>
        <vt:i4>5</vt:i4>
      </vt:variant>
      <vt:variant>
        <vt:lpwstr>mailto:wojciech.sawicki@coe.int</vt:lpwstr>
      </vt:variant>
      <vt:variant>
        <vt:lpwstr/>
      </vt:variant>
      <vt:variant>
        <vt:i4>3932251</vt:i4>
      </vt:variant>
      <vt:variant>
        <vt:i4>9</vt:i4>
      </vt:variant>
      <vt:variant>
        <vt:i4>0</vt:i4>
      </vt:variant>
      <vt:variant>
        <vt:i4>5</vt:i4>
      </vt:variant>
      <vt:variant>
        <vt:lpwstr>mailto:andrew.drzemczewski@coe.int</vt:lpwstr>
      </vt:variant>
      <vt:variant>
        <vt:lpwstr/>
      </vt:variant>
      <vt:variant>
        <vt:i4>4063234</vt:i4>
      </vt:variant>
      <vt:variant>
        <vt:i4>6</vt:i4>
      </vt:variant>
      <vt:variant>
        <vt:i4>0</vt:i4>
      </vt:variant>
      <vt:variant>
        <vt:i4>5</vt:i4>
      </vt:variant>
      <vt:variant>
        <vt:lpwstr>http://assembly.coe.int/RulesofProcedure/html/EN/Rules/Reglement_2012_EN/Candidates_for_the_European_Court_of_Human_Rights.htm</vt:lpwstr>
      </vt:variant>
      <vt:variant>
        <vt:lpwstr/>
      </vt:variant>
      <vt:variant>
        <vt:i4>6160405</vt:i4>
      </vt:variant>
      <vt:variant>
        <vt:i4>3</vt:i4>
      </vt:variant>
      <vt:variant>
        <vt:i4>0</vt:i4>
      </vt:variant>
      <vt:variant>
        <vt:i4>5</vt:i4>
      </vt:variant>
      <vt:variant>
        <vt:lpwstr>http://assembly.coe.int/CommitteeDocs/2009/ModelCVEN.doc</vt:lpwstr>
      </vt:variant>
      <vt:variant>
        <vt:lpwstr/>
      </vt:variant>
      <vt:variant>
        <vt:i4>2555945</vt:i4>
      </vt:variant>
      <vt:variant>
        <vt:i4>0</vt:i4>
      </vt:variant>
      <vt:variant>
        <vt:i4>0</vt:i4>
      </vt:variant>
      <vt:variant>
        <vt:i4>5</vt:i4>
      </vt:variant>
      <vt:variant>
        <vt:lpwstr>http://assembly.coe.int/Mainf.asp?link=/Documents/AdoptedText/ta09/ERES1646.htm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Insook</dc:creator>
  <cp:lastModifiedBy>Svetlana Hovakimyan</cp:lastModifiedBy>
  <cp:revision>3</cp:revision>
  <cp:lastPrinted>2015-02-02T10:00:00Z</cp:lastPrinted>
  <dcterms:created xsi:type="dcterms:W3CDTF">2022-11-11T13:25:00Z</dcterms:created>
  <dcterms:modified xsi:type="dcterms:W3CDTF">2022-11-11T13:57:00Z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