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87" w:rsidRPr="000C1B53" w:rsidRDefault="00543787" w:rsidP="00543787">
      <w:pPr>
        <w:jc w:val="center"/>
        <w:rPr>
          <w:rFonts w:ascii="GHEA Grapalat" w:eastAsiaTheme="minorEastAsia" w:hAnsi="GHEA Grapalat" w:cs="Times New Roman"/>
          <w:b/>
          <w:bCs/>
          <w:color w:val="000000"/>
          <w:sz w:val="28"/>
          <w:szCs w:val="24"/>
          <w:lang w:val="hy-AM" w:eastAsia="zh-CN"/>
        </w:rPr>
      </w:pPr>
      <w:r w:rsidRPr="000C1B53">
        <w:rPr>
          <w:rFonts w:ascii="GHEA Grapalat" w:eastAsiaTheme="minorEastAsia" w:hAnsi="GHEA Grapalat" w:cs="Sylfaen"/>
          <w:b/>
          <w:bCs/>
          <w:color w:val="000000"/>
          <w:sz w:val="28"/>
          <w:szCs w:val="24"/>
          <w:lang w:val="hy-AM" w:eastAsia="zh-CN"/>
        </w:rPr>
        <w:t xml:space="preserve">ՀԱՎԵԼՎԱԾ </w:t>
      </w:r>
      <w:r w:rsidRPr="000C1B53">
        <w:rPr>
          <w:rFonts w:ascii="GHEA Grapalat" w:eastAsiaTheme="minorEastAsia" w:hAnsi="GHEA Grapalat" w:cs="Times New Roman"/>
          <w:b/>
          <w:bCs/>
          <w:color w:val="000000"/>
          <w:sz w:val="28"/>
          <w:szCs w:val="24"/>
          <w:lang w:val="hy-AM" w:eastAsia="zh-CN"/>
        </w:rPr>
        <w:t xml:space="preserve"> 2-1-1</w:t>
      </w:r>
    </w:p>
    <w:p w:rsidR="00B97812" w:rsidRPr="000C1B53" w:rsidRDefault="0041686C" w:rsidP="00543787">
      <w:pPr>
        <w:jc w:val="center"/>
        <w:rPr>
          <w:rFonts w:ascii="GHEA Grapalat" w:eastAsiaTheme="minorEastAsia" w:hAnsi="GHEA Grapalat" w:cs="Sylfaen"/>
          <w:b/>
          <w:bCs/>
          <w:color w:val="000000"/>
          <w:sz w:val="28"/>
          <w:szCs w:val="24"/>
          <w:lang w:val="hy-AM" w:eastAsia="zh-CN"/>
        </w:rPr>
      </w:pPr>
      <w:r w:rsidRPr="000C1B53">
        <w:rPr>
          <w:rFonts w:ascii="GHEA Grapalat" w:eastAsiaTheme="minorEastAsia" w:hAnsi="GHEA Grapalat" w:cs="Sylfaen"/>
          <w:b/>
          <w:bCs/>
          <w:color w:val="000000"/>
          <w:sz w:val="28"/>
          <w:szCs w:val="24"/>
          <w:lang w:val="hy-AM" w:eastAsia="zh-CN"/>
        </w:rPr>
        <w:t>ԵԱՏՄ</w:t>
      </w:r>
      <w:r w:rsidRPr="000C1B53">
        <w:rPr>
          <w:rFonts w:ascii="GHEA Grapalat" w:eastAsiaTheme="minorEastAsia" w:hAnsi="GHEA Grapalat" w:cs="Times New Roman"/>
          <w:b/>
          <w:bCs/>
          <w:color w:val="000000"/>
          <w:sz w:val="28"/>
          <w:szCs w:val="24"/>
          <w:lang w:val="hy-AM" w:eastAsia="zh-CN"/>
        </w:rPr>
        <w:t xml:space="preserve"> </w:t>
      </w:r>
      <w:r w:rsidRPr="000C1B53">
        <w:rPr>
          <w:rFonts w:ascii="GHEA Grapalat" w:eastAsiaTheme="minorEastAsia" w:hAnsi="GHEA Grapalat" w:cs="Sylfaen"/>
          <w:b/>
          <w:bCs/>
          <w:color w:val="000000"/>
          <w:sz w:val="28"/>
          <w:szCs w:val="24"/>
          <w:lang w:val="hy-AM" w:eastAsia="zh-CN"/>
        </w:rPr>
        <w:t>ՍԱԿԱԳՆԱՅԻՆ ՊԱՐՏԱՎՈՐՈՒԹՅՈՒՆՆԵՐԻ ՑԱՆԿ</w:t>
      </w:r>
    </w:p>
    <w:p w:rsidR="00543787" w:rsidRPr="000C1B53" w:rsidRDefault="00543787" w:rsidP="00543787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1B53">
        <w:rPr>
          <w:rFonts w:ascii="GHEA Grapalat" w:hAnsi="GHEA Grapalat"/>
          <w:sz w:val="24"/>
          <w:szCs w:val="24"/>
          <w:lang w:val="hy-AM"/>
        </w:rPr>
        <w:t xml:space="preserve">Սույն հավելվածի նպատակների համար. </w:t>
      </w:r>
    </w:p>
    <w:p w:rsidR="00543787" w:rsidRPr="000C1B53" w:rsidRDefault="00543787" w:rsidP="00543787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>«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Սակագնային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գիծ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»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«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Ն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կարագրություն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»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նշանակում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են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ԵԱՏՄ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համապատասխան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սակագնային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գիծ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="0041686C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 դրան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համապատասխան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նկարագրությունը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`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 xml:space="preserve"> համաձայն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ԵԱՏՄ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արտաքին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տնտեսական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գործունեության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ապրանքային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անվանացանկի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որը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հաստատվել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Եվրասիական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տնտեսական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հանձնաժողովի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խորհրդի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2012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թվականի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հուլիսի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16-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ի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N 54-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ի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որոշմամբ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543787" w:rsidRPr="000C1B53" w:rsidRDefault="00543787" w:rsidP="00543787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sz w:val="24"/>
          <w:szCs w:val="24"/>
          <w:lang w:val="hy-AM"/>
        </w:rPr>
        <w:t xml:space="preserve"> «Բազային դրույքաչափ» նշանակում է ԵԱՏՄ միասնական մաքսային սակագնի դրույքաչափերը</w:t>
      </w:r>
      <w:r w:rsidR="0041686C" w:rsidRPr="000C1B53">
        <w:rPr>
          <w:rFonts w:ascii="GHEA Grapalat" w:hAnsi="GHEA Grapalat"/>
          <w:sz w:val="24"/>
          <w:szCs w:val="24"/>
          <w:lang w:val="hy-AM"/>
        </w:rPr>
        <w:t>՝</w:t>
      </w:r>
      <w:r w:rsidRPr="000C1B53">
        <w:rPr>
          <w:rFonts w:ascii="GHEA Grapalat" w:hAnsi="GHEA Grapalat"/>
          <w:sz w:val="24"/>
          <w:szCs w:val="24"/>
          <w:lang w:val="hy-AM"/>
        </w:rPr>
        <w:t xml:space="preserve"> 2018 թվականի նոյեմբերի 1-ի դրությամբ:</w:t>
      </w:r>
    </w:p>
    <w:p w:rsidR="00543787" w:rsidRPr="000C1B53" w:rsidRDefault="00543787" w:rsidP="00375B67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Մաքսատուրքերի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իջեցման կամ վերացման նպատակով յուրաքանչյուր տարեկան նվազեցումը կատարվում է համապատասխան տարվա առաջին </w:t>
      </w:r>
      <w:r w:rsidR="00375B67" w:rsidRPr="000C1B53">
        <w:rPr>
          <w:rFonts w:ascii="GHEA Grapalat" w:hAnsi="GHEA Grapalat"/>
          <w:bCs/>
          <w:sz w:val="24"/>
          <w:szCs w:val="24"/>
          <w:lang w:val="hy-AM"/>
        </w:rPr>
        <w:t>օ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րը</w:t>
      </w:r>
      <w:r w:rsidR="00375B67" w:rsidRPr="000C1B53">
        <w:rPr>
          <w:rFonts w:ascii="GHEA Grapalat" w:hAnsi="GHEA Grapalat"/>
          <w:bCs/>
          <w:sz w:val="24"/>
          <w:szCs w:val="24"/>
          <w:lang w:val="hy-AM"/>
        </w:rPr>
        <w:t>`</w:t>
      </w:r>
      <w:r w:rsidR="00375B67" w:rsidRPr="000C1B53">
        <w:rPr>
          <w:lang w:val="hy-AM"/>
        </w:rPr>
        <w:t xml:space="preserve"> </w:t>
      </w:r>
      <w:r w:rsidR="00375B67" w:rsidRPr="000C1B53">
        <w:rPr>
          <w:rFonts w:ascii="GHEA Grapalat" w:hAnsi="GHEA Grapalat"/>
          <w:bCs/>
          <w:sz w:val="24"/>
          <w:szCs w:val="24"/>
          <w:lang w:val="hy-AM"/>
        </w:rPr>
        <w:t>ինչպես սահմանված է.</w:t>
      </w:r>
    </w:p>
    <w:p w:rsidR="00375B67" w:rsidRPr="000C1B53" w:rsidRDefault="00375B67" w:rsidP="00375B67">
      <w:pPr>
        <w:pStyle w:val="ListParagraph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>ա)  «առաջին տարի» նշանակում է տասներկուամսյա ժամանակահատված, որը սկսվում է սույն Համաձայնագրի ուժի մեջ մտնելու պահից:</w:t>
      </w: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>բ) «երկրորդ տարի» նշանակում է տասներկուամսյա ժամանակահատված, որը սկսվում է սույն Համաձայնագրի ուժի մեջ մտնելու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առաջին տար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վանից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>գ) «երրորդ տարի» նշանակում է տասներկուամսյա ժամանակահատված, որը սկսվում է սույն Համաձայնագրի ուժի մեջ մտնելու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երկրորդ տար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վանից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դ) «չորրորդ տարի» նշանակում է տասներկուամսյա </w:t>
      </w:r>
      <w:r w:rsidR="006C71F5" w:rsidRPr="000C1B53">
        <w:rPr>
          <w:rFonts w:ascii="GHEA Grapalat" w:hAnsi="GHEA Grapalat"/>
          <w:bCs/>
          <w:sz w:val="24"/>
          <w:szCs w:val="24"/>
          <w:lang w:val="hy-AM"/>
        </w:rPr>
        <w:t>ժամանակահատված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, որը սկսվում է սույն Համաձայնագրի ուժի մեջ մտնելու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երրորդ տար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վանից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ե) «հինգերորդ տարի» նշանակում է 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 xml:space="preserve">տասներկուամսյա </w:t>
      </w:r>
      <w:r w:rsidR="006C71F5" w:rsidRPr="000C1B53">
        <w:rPr>
          <w:rFonts w:ascii="GHEA Grapalat" w:hAnsi="GHEA Grapalat"/>
          <w:bCs/>
          <w:sz w:val="24"/>
          <w:szCs w:val="24"/>
          <w:lang w:val="hy-AM"/>
        </w:rPr>
        <w:t xml:space="preserve">ժամանակահատված, որը </w:t>
      </w:r>
      <w:r w:rsidR="006C71F5" w:rsidRPr="000C1B53">
        <w:rPr>
          <w:rFonts w:ascii="GHEA Grapalat" w:hAnsi="GHEA Grapalat"/>
          <w:bCs/>
          <w:sz w:val="24"/>
          <w:szCs w:val="24"/>
          <w:lang w:val="hy-AM"/>
        </w:rPr>
        <w:t>սկսվում է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սույն Համաձայնագրի ուժի մեջ մտնելու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չորրորդ տար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վանից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զ) «վեցերորդ տարի» նշանակում </w:t>
      </w:r>
      <w:bookmarkStart w:id="0" w:name="_GoBack"/>
      <w:bookmarkEnd w:id="0"/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է տասներկուամսյա </w:t>
      </w:r>
      <w:r w:rsidR="006C71F5" w:rsidRPr="000C1B53">
        <w:rPr>
          <w:rFonts w:ascii="GHEA Grapalat" w:hAnsi="GHEA Grapalat"/>
          <w:bCs/>
          <w:sz w:val="24"/>
          <w:szCs w:val="24"/>
          <w:lang w:val="hy-AM"/>
        </w:rPr>
        <w:t>ժամանակահատված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, որը սկսվում է սույն Համաձայնագրի ուժի մեջ մտնելու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հինգերորդ տար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վանից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է) «յոթերորդ տարի» նշանակում է տասներկուամսյա </w:t>
      </w:r>
      <w:r w:rsidR="006C71F5" w:rsidRPr="000C1B53">
        <w:rPr>
          <w:rFonts w:ascii="GHEA Grapalat" w:hAnsi="GHEA Grapalat"/>
          <w:bCs/>
          <w:sz w:val="24"/>
          <w:szCs w:val="24"/>
          <w:lang w:val="hy-AM"/>
        </w:rPr>
        <w:t>ժամանակահատված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, որը սկսվում է սույն Համաձայնագրի ուժի մեջ մտնելու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վեցերորդ տար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վանից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ը) «ութերորդ տարի» նշանակում է տասներկուամսյա </w:t>
      </w:r>
      <w:r w:rsidR="006C71F5" w:rsidRPr="000C1B53">
        <w:rPr>
          <w:rFonts w:ascii="GHEA Grapalat" w:hAnsi="GHEA Grapalat"/>
          <w:bCs/>
          <w:sz w:val="24"/>
          <w:szCs w:val="24"/>
          <w:lang w:val="hy-AM"/>
        </w:rPr>
        <w:t>ժամանակահատված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, որը սկսվում է սույն Համաձայնագրի ուժի մեջ մտնելու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յոթերորդ տար</w:t>
      </w:r>
      <w:r w:rsidR="0041686C" w:rsidRPr="000C1B53">
        <w:rPr>
          <w:rFonts w:ascii="GHEA Grapalat" w:hAnsi="GHEA Grapalat"/>
          <w:bCs/>
          <w:sz w:val="24"/>
          <w:szCs w:val="24"/>
          <w:lang w:val="hy-AM"/>
        </w:rPr>
        <w:t>վանից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թ) «ինը տարի» նշանակում է տասներկուամսյա </w:t>
      </w:r>
      <w:r w:rsidR="006C71F5" w:rsidRPr="000C1B53">
        <w:rPr>
          <w:rFonts w:ascii="GHEA Grapalat" w:hAnsi="GHEA Grapalat"/>
          <w:bCs/>
          <w:sz w:val="24"/>
          <w:szCs w:val="24"/>
          <w:lang w:val="hy-AM"/>
        </w:rPr>
        <w:t>ժամանակահատված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, որը սկսվում է սույն Համաձայնագրի ուժի մեջ մտնելու</w:t>
      </w:r>
      <w:r w:rsidR="00904B14" w:rsidRPr="000C1B53">
        <w:rPr>
          <w:rFonts w:ascii="GHEA Grapalat" w:hAnsi="GHEA Grapalat"/>
          <w:bCs/>
          <w:sz w:val="24"/>
          <w:szCs w:val="24"/>
          <w:lang w:val="hy-AM"/>
        </w:rPr>
        <w:t>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ութերորդ տար</w:t>
      </w:r>
      <w:r w:rsidR="00904B14" w:rsidRPr="000C1B53">
        <w:rPr>
          <w:rFonts w:ascii="GHEA Grapalat" w:hAnsi="GHEA Grapalat"/>
          <w:bCs/>
          <w:sz w:val="24"/>
          <w:szCs w:val="24"/>
          <w:lang w:val="hy-AM"/>
        </w:rPr>
        <w:t>վանից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ժ) «տասը տարի» նշանակում է տասներկուամսյա </w:t>
      </w:r>
      <w:r w:rsidR="006C71F5" w:rsidRPr="000C1B53">
        <w:rPr>
          <w:rFonts w:ascii="GHEA Grapalat" w:hAnsi="GHEA Grapalat"/>
          <w:bCs/>
          <w:sz w:val="24"/>
          <w:szCs w:val="24"/>
          <w:lang w:val="hy-AM"/>
        </w:rPr>
        <w:t>ժամանակահատված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, որը սկսվում է սույն Համաձայնագրի ուժի մեջ մտնելու</w:t>
      </w:r>
      <w:r w:rsidR="00904B14" w:rsidRPr="000C1B53">
        <w:rPr>
          <w:rFonts w:ascii="GHEA Grapalat" w:hAnsi="GHEA Grapalat"/>
          <w:bCs/>
          <w:sz w:val="24"/>
          <w:szCs w:val="24"/>
          <w:lang w:val="hy-AM"/>
        </w:rPr>
        <w:t>ց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իններորդ տար</w:t>
      </w:r>
      <w:r w:rsidR="00904B14" w:rsidRPr="000C1B53">
        <w:rPr>
          <w:rFonts w:ascii="GHEA Grapalat" w:hAnsi="GHEA Grapalat"/>
          <w:bCs/>
          <w:sz w:val="24"/>
          <w:szCs w:val="24"/>
          <w:lang w:val="hy-AM"/>
        </w:rPr>
        <w:t>վան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ից.</w:t>
      </w:r>
    </w:p>
    <w:p w:rsidR="006C71F5" w:rsidRPr="000C1B53" w:rsidRDefault="006C71F5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75B67" w:rsidRPr="000C1B53" w:rsidRDefault="00375B67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C1B53">
        <w:rPr>
          <w:rFonts w:ascii="GHEA Grapalat" w:hAnsi="GHEA Grapalat"/>
          <w:bCs/>
          <w:sz w:val="24"/>
          <w:szCs w:val="24"/>
          <w:lang w:val="hy-AM"/>
        </w:rPr>
        <w:t>ի) «տասնմեկերորդ տարի և հաջորդ</w:t>
      </w:r>
      <w:r w:rsidR="00904B14" w:rsidRPr="000C1B53">
        <w:rPr>
          <w:rFonts w:ascii="GHEA Grapalat" w:hAnsi="GHEA Grapalat"/>
          <w:bCs/>
          <w:sz w:val="24"/>
          <w:szCs w:val="24"/>
          <w:lang w:val="hy-AM"/>
        </w:rPr>
        <w:t>ող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 xml:space="preserve"> տարիներ» նշանակում է տասներկուամսյա </w:t>
      </w:r>
      <w:r w:rsidR="006C71F5" w:rsidRPr="000C1B53">
        <w:rPr>
          <w:rFonts w:ascii="GHEA Grapalat" w:hAnsi="GHEA Grapalat"/>
          <w:bCs/>
          <w:sz w:val="24"/>
          <w:szCs w:val="24"/>
          <w:lang w:val="hy-AM"/>
        </w:rPr>
        <w:t>ժամանակահատված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, որը սկսվում է սույն Համաձայնագրի ուժի մեջ մտնելու</w:t>
      </w:r>
      <w:r w:rsidR="00904B14" w:rsidRPr="000C1B53">
        <w:rPr>
          <w:rFonts w:ascii="GHEA Grapalat" w:hAnsi="GHEA Grapalat"/>
          <w:bCs/>
          <w:sz w:val="24"/>
          <w:szCs w:val="24"/>
          <w:lang w:val="hy-AM"/>
        </w:rPr>
        <w:t>ց</w:t>
      </w:r>
      <w:r w:rsidR="00BB200A" w:rsidRPr="000C1B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տասներորդ տար</w:t>
      </w:r>
      <w:r w:rsidR="00904B14" w:rsidRPr="000C1B53">
        <w:rPr>
          <w:rFonts w:ascii="GHEA Grapalat" w:hAnsi="GHEA Grapalat"/>
          <w:bCs/>
          <w:sz w:val="24"/>
          <w:szCs w:val="24"/>
          <w:lang w:val="hy-AM"/>
        </w:rPr>
        <w:t>վան</w:t>
      </w:r>
      <w:r w:rsidRPr="000C1B53">
        <w:rPr>
          <w:rFonts w:ascii="GHEA Grapalat" w:hAnsi="GHEA Grapalat"/>
          <w:bCs/>
          <w:sz w:val="24"/>
          <w:szCs w:val="24"/>
          <w:lang w:val="hy-AM"/>
        </w:rPr>
        <w:t>ից:</w:t>
      </w:r>
    </w:p>
    <w:p w:rsidR="006C71F5" w:rsidRPr="000C1B53" w:rsidRDefault="006C71F5" w:rsidP="00375B67">
      <w:pPr>
        <w:pStyle w:val="ListParagraph"/>
        <w:spacing w:before="240"/>
        <w:ind w:left="9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BB200A" w:rsidRPr="000C1B53" w:rsidRDefault="00904B14" w:rsidP="005C2196">
      <w:pPr>
        <w:pStyle w:val="ListParagraph"/>
        <w:numPr>
          <w:ilvl w:val="0"/>
          <w:numId w:val="3"/>
        </w:numPr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«EX» 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>դասակարգ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ված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 ապրանքները </w:t>
      </w:r>
      <w:r w:rsidR="006C71F5" w:rsidRPr="000C1B53">
        <w:rPr>
          <w:rFonts w:ascii="GHEA Grapalat" w:hAnsi="GHEA Grapalat" w:cs="Sylfaen"/>
          <w:bCs/>
          <w:sz w:val="24"/>
          <w:szCs w:val="24"/>
          <w:lang w:val="hy-AM"/>
        </w:rPr>
        <w:t>հանված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 են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6C71F5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ցանկացած 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>սակագնային պարտավորություն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ներ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ից: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Այդ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 ապրանքների նկատմամբ մաքսատուրքերը կիրառվում են 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առավել բարենպաստ ռեժիմին համապատասխան</w:t>
      </w:r>
      <w:r w:rsidR="0013526A" w:rsidRPr="000C1B53">
        <w:rPr>
          <w:rFonts w:ascii="GHEA Grapalat" w:hAnsi="GHEA Grapalat" w:cs="Sylfaen"/>
          <w:bCs/>
          <w:sz w:val="24"/>
          <w:szCs w:val="24"/>
          <w:lang w:val="hy-AM"/>
        </w:rPr>
        <w:t>,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>2.3 հոդվածի</w:t>
      </w:r>
      <w:r w:rsidR="0013526A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ն 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>(</w:t>
      </w:r>
      <w:r w:rsidRPr="000C1B53">
        <w:rPr>
          <w:rFonts w:ascii="GHEA Grapalat" w:hAnsi="GHEA Grapalat" w:cs="Sylfaen"/>
          <w:bCs/>
          <w:sz w:val="24"/>
          <w:szCs w:val="24"/>
          <w:lang w:val="hy-AM"/>
        </w:rPr>
        <w:t>Ա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>ռավել բարենպաստ</w:t>
      </w:r>
      <w:r w:rsidR="005C2196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 ռեժիմ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) </w:t>
      </w:r>
      <w:r w:rsidR="0013526A" w:rsidRPr="000C1B53">
        <w:rPr>
          <w:rFonts w:ascii="GHEA Grapalat" w:hAnsi="GHEA Grapalat" w:cs="Sylfaen"/>
          <w:bCs/>
          <w:sz w:val="24"/>
          <w:szCs w:val="24"/>
          <w:lang w:val="hy-AM"/>
        </w:rPr>
        <w:t>համաձայն՝</w:t>
      </w:r>
      <w:r w:rsidR="005C2196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 xml:space="preserve">սույն Համաձայնագրի ուժի մեջ մտնելու </w:t>
      </w:r>
      <w:r w:rsidR="0013526A" w:rsidRPr="000C1B53">
        <w:rPr>
          <w:rFonts w:ascii="GHEA Grapalat" w:hAnsi="GHEA Grapalat" w:cs="Sylfaen"/>
          <w:bCs/>
          <w:sz w:val="24"/>
          <w:szCs w:val="24"/>
          <w:lang w:val="hy-AM"/>
        </w:rPr>
        <w:t>օրվանից</w:t>
      </w:r>
      <w:r w:rsidR="00BB200A" w:rsidRPr="000C1B53">
        <w:rPr>
          <w:rFonts w:ascii="GHEA Grapalat" w:hAnsi="GHEA Grapalat" w:cs="Sylfaen"/>
          <w:bCs/>
          <w:sz w:val="24"/>
          <w:szCs w:val="24"/>
          <w:lang w:val="hy-AM"/>
        </w:rPr>
        <w:t>:</w:t>
      </w:r>
    </w:p>
    <w:p w:rsidR="00E6360E" w:rsidRPr="000C1B53" w:rsidRDefault="00E6360E" w:rsidP="00E6360E">
      <w:pPr>
        <w:pStyle w:val="ListNumber"/>
        <w:numPr>
          <w:ilvl w:val="0"/>
          <w:numId w:val="3"/>
        </w:numPr>
        <w:tabs>
          <w:tab w:val="left" w:pos="403"/>
        </w:tabs>
        <w:spacing w:line="240" w:lineRule="auto"/>
        <w:jc w:val="both"/>
        <w:rPr>
          <w:rStyle w:val="ListLabel857"/>
          <w:rFonts w:ascii="GHEA Grapalat" w:hAnsi="GHEA Grapalat"/>
          <w:color w:val="000000"/>
          <w:sz w:val="24"/>
          <w:szCs w:val="24"/>
          <w:u w:val="none"/>
        </w:rPr>
      </w:pP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>ԵԱՏՄ-ում 2</w:t>
      </w: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 xml:space="preserve">.6 (Մաքսատուրքերի նվազեցումը և չեղյալ համարելը) հոդվածի համաձայն կիրառվում են նվազեցման </w:t>
      </w:r>
      <w:proofErr w:type="spellStart"/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>հետևյալ</w:t>
      </w:r>
      <w:proofErr w:type="spellEnd"/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 xml:space="preserve"> կարգերը՝</w:t>
      </w:r>
    </w:p>
    <w:p w:rsidR="00E6360E" w:rsidRPr="000C1B53" w:rsidRDefault="00E6360E" w:rsidP="00E6360E">
      <w:pPr>
        <w:pStyle w:val="ListNumber"/>
        <w:tabs>
          <w:tab w:val="left" w:pos="403"/>
        </w:tabs>
        <w:spacing w:line="240" w:lineRule="auto"/>
        <w:ind w:left="900" w:firstLine="0"/>
        <w:jc w:val="both"/>
        <w:rPr>
          <w:rFonts w:ascii="GHEA Grapalat" w:hAnsi="GHEA Grapalat"/>
          <w:color w:val="000000"/>
          <w:sz w:val="24"/>
          <w:szCs w:val="24"/>
        </w:rPr>
      </w:pP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>ա) «A</w:t>
      </w: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>» կարգի ծագող ա</w:t>
      </w: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>պ</w:t>
      </w: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 xml:space="preserve">րանքների նկատմամբ մաքսատուրքերը </w:t>
      </w: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 xml:space="preserve">վերացվում </w:t>
      </w: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>են սույն Համաձայնագրի ուժի մեջ մտնելու պահից.</w:t>
      </w:r>
    </w:p>
    <w:p w:rsidR="00E6360E" w:rsidRPr="000C1B53" w:rsidRDefault="00E6360E" w:rsidP="00E6360E">
      <w:pPr>
        <w:pStyle w:val="BodyText"/>
        <w:tabs>
          <w:tab w:val="left" w:pos="403"/>
        </w:tabs>
        <w:spacing w:line="240" w:lineRule="auto"/>
        <w:ind w:left="900"/>
        <w:jc w:val="both"/>
        <w:rPr>
          <w:rFonts w:ascii="GHEA Grapalat" w:hAnsi="GHEA Grapalat"/>
          <w:color w:val="000000"/>
          <w:sz w:val="24"/>
          <w:szCs w:val="24"/>
        </w:rPr>
      </w:pPr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բ) «В3» </w:t>
      </w: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>կարգ</w:t>
      </w:r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ի ծագող արանքների նկատմամբ մաքսատուրքերը նվազեցվում են </w:t>
      </w:r>
      <w:proofErr w:type="spellStart"/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>մինչև</w:t>
      </w:r>
      <w:proofErr w:type="spellEnd"/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 զրո չորս ամենամյա փուլերով.</w:t>
      </w:r>
    </w:p>
    <w:p w:rsidR="00E6360E" w:rsidRPr="000C1B53" w:rsidRDefault="00E6360E" w:rsidP="000C1B53">
      <w:pPr>
        <w:pStyle w:val="BodyText"/>
        <w:tabs>
          <w:tab w:val="left" w:pos="403"/>
        </w:tabs>
        <w:spacing w:line="240" w:lineRule="auto"/>
        <w:ind w:left="900"/>
        <w:jc w:val="both"/>
        <w:rPr>
          <w:rFonts w:ascii="GHEA Grapalat" w:hAnsi="GHEA Grapalat"/>
          <w:color w:val="000000"/>
          <w:sz w:val="24"/>
          <w:szCs w:val="24"/>
        </w:rPr>
      </w:pPr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lastRenderedPageBreak/>
        <w:t xml:space="preserve">գ) «В» </w:t>
      </w: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>կարգ</w:t>
      </w:r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ի ծագող արանքների նկատմամբ մաքսատուրքերը նվազեցվում են </w:t>
      </w:r>
      <w:proofErr w:type="spellStart"/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>մինչև</w:t>
      </w:r>
      <w:proofErr w:type="spellEnd"/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 զրո վեց</w:t>
      </w:r>
      <w:r w:rsidR="000C1B53"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 ա</w:t>
      </w:r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>մենամյա փուլերով.</w:t>
      </w:r>
    </w:p>
    <w:p w:rsidR="00E6360E" w:rsidRPr="000C1B53" w:rsidRDefault="00E6360E" w:rsidP="000C1B53">
      <w:pPr>
        <w:pStyle w:val="BodyText"/>
        <w:tabs>
          <w:tab w:val="left" w:pos="403"/>
        </w:tabs>
        <w:spacing w:line="240" w:lineRule="auto"/>
        <w:ind w:left="900"/>
        <w:jc w:val="both"/>
        <w:rPr>
          <w:rFonts w:ascii="GHEA Grapalat" w:hAnsi="GHEA Grapalat"/>
          <w:color w:val="000000"/>
          <w:sz w:val="24"/>
          <w:szCs w:val="24"/>
        </w:rPr>
      </w:pPr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դ) «С» </w:t>
      </w:r>
      <w:r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>կարգ</w:t>
      </w:r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ի ծագող արանքների նկատմամբ մաքսատուրքերը նվազեցվում են </w:t>
      </w:r>
      <w:proofErr w:type="spellStart"/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>մինչև</w:t>
      </w:r>
      <w:proofErr w:type="spellEnd"/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 զրո ութ ամենամյա փուլերով.</w:t>
      </w:r>
    </w:p>
    <w:p w:rsidR="00E6360E" w:rsidRPr="000C1B53" w:rsidRDefault="000C1B53" w:rsidP="000C1B53">
      <w:pPr>
        <w:pStyle w:val="BodyText"/>
        <w:tabs>
          <w:tab w:val="left" w:pos="403"/>
        </w:tabs>
        <w:spacing w:line="240" w:lineRule="auto"/>
        <w:ind w:left="900"/>
        <w:jc w:val="both"/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</w:pPr>
      <w:r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>ե</w:t>
      </w:r>
      <w:r w:rsidR="00E6360E"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) «D» </w:t>
      </w:r>
      <w:r w:rsidR="00E6360E" w:rsidRPr="000C1B53">
        <w:rPr>
          <w:rStyle w:val="ListLabel857"/>
          <w:rFonts w:ascii="GHEA Grapalat" w:hAnsi="GHEA Grapalat"/>
          <w:color w:val="000000"/>
          <w:spacing w:val="-1"/>
          <w:sz w:val="24"/>
          <w:szCs w:val="24"/>
          <w:u w:val="none"/>
        </w:rPr>
        <w:t>կարգ</w:t>
      </w:r>
      <w:r w:rsidR="00E6360E"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ի ծագող արանքների նկատմամբ մաքսատուրքերը նվազեցվում են </w:t>
      </w:r>
      <w:proofErr w:type="spellStart"/>
      <w:r w:rsidR="00E6360E"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>մինչև</w:t>
      </w:r>
      <w:proofErr w:type="spellEnd"/>
      <w:r w:rsidR="00E6360E" w:rsidRPr="000C1B53">
        <w:rPr>
          <w:rStyle w:val="ListLabel857"/>
          <w:rFonts w:ascii="GHEA Grapalat" w:hAnsi="GHEA Grapalat" w:cs="Mangal"/>
          <w:color w:val="000000"/>
          <w:spacing w:val="-1"/>
          <w:sz w:val="24"/>
          <w:szCs w:val="24"/>
          <w:u w:val="none"/>
        </w:rPr>
        <w:t xml:space="preserve"> զրո տասնմեկ ամենամյա փուլերով.</w:t>
      </w:r>
    </w:p>
    <w:p w:rsidR="00E6360E" w:rsidRPr="000C1B53" w:rsidRDefault="00E6360E" w:rsidP="000C1B53">
      <w:pPr>
        <w:ind w:left="36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sectPr w:rsidR="00E6360E" w:rsidRPr="000C1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14E"/>
    <w:multiLevelType w:val="multilevel"/>
    <w:tmpl w:val="63C4CD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30"/>
      </w:rPr>
    </w:lvl>
    <w:lvl w:ilvl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abstractNum w:abstractNumId="1">
    <w:nsid w:val="08820A0F"/>
    <w:multiLevelType w:val="hybridMultilevel"/>
    <w:tmpl w:val="26702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36EBE"/>
    <w:multiLevelType w:val="hybridMultilevel"/>
    <w:tmpl w:val="4DB8EBAE"/>
    <w:lvl w:ilvl="0" w:tplc="740A26D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75"/>
    <w:rsid w:val="000C1B53"/>
    <w:rsid w:val="0013526A"/>
    <w:rsid w:val="00375B67"/>
    <w:rsid w:val="003A68F8"/>
    <w:rsid w:val="0041686C"/>
    <w:rsid w:val="00543787"/>
    <w:rsid w:val="005C2196"/>
    <w:rsid w:val="006C71F5"/>
    <w:rsid w:val="00904B14"/>
    <w:rsid w:val="00AD0675"/>
    <w:rsid w:val="00B97812"/>
    <w:rsid w:val="00BB200A"/>
    <w:rsid w:val="00CD4BE1"/>
    <w:rsid w:val="00E6360E"/>
    <w:rsid w:val="00E7132D"/>
    <w:rsid w:val="00F3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4378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SG" w:eastAsia="zh-CN"/>
    </w:rPr>
  </w:style>
  <w:style w:type="paragraph" w:styleId="ListParagraph">
    <w:name w:val="List Paragraph"/>
    <w:basedOn w:val="Normal"/>
    <w:uiPriority w:val="34"/>
    <w:qFormat/>
    <w:rsid w:val="00543787"/>
    <w:pPr>
      <w:ind w:left="720"/>
      <w:contextualSpacing/>
    </w:pPr>
  </w:style>
  <w:style w:type="character" w:customStyle="1" w:styleId="ListLabel857">
    <w:name w:val="ListLabel 857"/>
    <w:rsid w:val="00E6360E"/>
    <w:rPr>
      <w:color w:val="0000FF"/>
      <w:u w:val="single" w:color="000000"/>
    </w:rPr>
  </w:style>
  <w:style w:type="paragraph" w:styleId="BodyText">
    <w:name w:val="Body Text"/>
    <w:basedOn w:val="Normal"/>
    <w:link w:val="BodyTextChar"/>
    <w:rsid w:val="00E6360E"/>
    <w:pPr>
      <w:suppressAutoHyphens/>
      <w:spacing w:after="140"/>
    </w:pPr>
    <w:rPr>
      <w:rFonts w:ascii="Times New Roman" w:eastAsia="Times New Roman" w:hAnsi="Times New Roman" w:cs="Times New Roman"/>
      <w:sz w:val="20"/>
      <w:szCs w:val="20"/>
      <w:lang w:val="hy-AM" w:eastAsia="zh-CN" w:bidi="hi-IN"/>
    </w:rPr>
  </w:style>
  <w:style w:type="character" w:customStyle="1" w:styleId="BodyTextChar">
    <w:name w:val="Body Text Char"/>
    <w:basedOn w:val="DefaultParagraphFont"/>
    <w:link w:val="BodyText"/>
    <w:rsid w:val="00E6360E"/>
    <w:rPr>
      <w:rFonts w:ascii="Times New Roman" w:eastAsia="Times New Roman" w:hAnsi="Times New Roman" w:cs="Times New Roman"/>
      <w:sz w:val="20"/>
      <w:szCs w:val="20"/>
      <w:lang w:val="hy-AM" w:eastAsia="zh-CN" w:bidi="hi-IN"/>
    </w:rPr>
  </w:style>
  <w:style w:type="paragraph" w:styleId="ListNumber">
    <w:name w:val="List Number"/>
    <w:basedOn w:val="List"/>
    <w:rsid w:val="00E6360E"/>
    <w:pPr>
      <w:suppressAutoHyphens/>
      <w:spacing w:after="120"/>
      <w:contextualSpacing w:val="0"/>
    </w:pPr>
    <w:rPr>
      <w:rFonts w:ascii="Times New Roman" w:eastAsia="Times New Roman" w:hAnsi="Times New Roman" w:cs="Mangal"/>
      <w:sz w:val="20"/>
      <w:szCs w:val="20"/>
      <w:lang w:val="hy-AM" w:eastAsia="zh-CN" w:bidi="hi-IN"/>
    </w:rPr>
  </w:style>
  <w:style w:type="paragraph" w:styleId="List">
    <w:name w:val="List"/>
    <w:basedOn w:val="Normal"/>
    <w:uiPriority w:val="99"/>
    <w:semiHidden/>
    <w:unhideWhenUsed/>
    <w:rsid w:val="00E6360E"/>
    <w:pPr>
      <w:ind w:left="360" w:hanging="36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4378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SG" w:eastAsia="zh-CN"/>
    </w:rPr>
  </w:style>
  <w:style w:type="paragraph" w:styleId="ListParagraph">
    <w:name w:val="List Paragraph"/>
    <w:basedOn w:val="Normal"/>
    <w:uiPriority w:val="34"/>
    <w:qFormat/>
    <w:rsid w:val="00543787"/>
    <w:pPr>
      <w:ind w:left="720"/>
      <w:contextualSpacing/>
    </w:pPr>
  </w:style>
  <w:style w:type="character" w:customStyle="1" w:styleId="ListLabel857">
    <w:name w:val="ListLabel 857"/>
    <w:rsid w:val="00E6360E"/>
    <w:rPr>
      <w:color w:val="0000FF"/>
      <w:u w:val="single" w:color="000000"/>
    </w:rPr>
  </w:style>
  <w:style w:type="paragraph" w:styleId="BodyText">
    <w:name w:val="Body Text"/>
    <w:basedOn w:val="Normal"/>
    <w:link w:val="BodyTextChar"/>
    <w:rsid w:val="00E6360E"/>
    <w:pPr>
      <w:suppressAutoHyphens/>
      <w:spacing w:after="140"/>
    </w:pPr>
    <w:rPr>
      <w:rFonts w:ascii="Times New Roman" w:eastAsia="Times New Roman" w:hAnsi="Times New Roman" w:cs="Times New Roman"/>
      <w:sz w:val="20"/>
      <w:szCs w:val="20"/>
      <w:lang w:val="hy-AM" w:eastAsia="zh-CN" w:bidi="hi-IN"/>
    </w:rPr>
  </w:style>
  <w:style w:type="character" w:customStyle="1" w:styleId="BodyTextChar">
    <w:name w:val="Body Text Char"/>
    <w:basedOn w:val="DefaultParagraphFont"/>
    <w:link w:val="BodyText"/>
    <w:rsid w:val="00E6360E"/>
    <w:rPr>
      <w:rFonts w:ascii="Times New Roman" w:eastAsia="Times New Roman" w:hAnsi="Times New Roman" w:cs="Times New Roman"/>
      <w:sz w:val="20"/>
      <w:szCs w:val="20"/>
      <w:lang w:val="hy-AM" w:eastAsia="zh-CN" w:bidi="hi-IN"/>
    </w:rPr>
  </w:style>
  <w:style w:type="paragraph" w:styleId="ListNumber">
    <w:name w:val="List Number"/>
    <w:basedOn w:val="List"/>
    <w:rsid w:val="00E6360E"/>
    <w:pPr>
      <w:suppressAutoHyphens/>
      <w:spacing w:after="120"/>
      <w:contextualSpacing w:val="0"/>
    </w:pPr>
    <w:rPr>
      <w:rFonts w:ascii="Times New Roman" w:eastAsia="Times New Roman" w:hAnsi="Times New Roman" w:cs="Mangal"/>
      <w:sz w:val="20"/>
      <w:szCs w:val="20"/>
      <w:lang w:val="hy-AM" w:eastAsia="zh-CN" w:bidi="hi-IN"/>
    </w:rPr>
  </w:style>
  <w:style w:type="paragraph" w:styleId="List">
    <w:name w:val="List"/>
    <w:basedOn w:val="Normal"/>
    <w:uiPriority w:val="99"/>
    <w:semiHidden/>
    <w:unhideWhenUsed/>
    <w:rsid w:val="00E6360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176DA-EA53-46CF-92BE-30AF8147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T. Hayrapetyan</dc:creator>
  <cp:keywords/>
  <dc:description/>
  <cp:lastModifiedBy>Kristine T. Hayrapetyan</cp:lastModifiedBy>
  <cp:revision>9</cp:revision>
  <cp:lastPrinted>2019-09-10T11:22:00Z</cp:lastPrinted>
  <dcterms:created xsi:type="dcterms:W3CDTF">2019-09-09T12:35:00Z</dcterms:created>
  <dcterms:modified xsi:type="dcterms:W3CDTF">2019-09-10T11:30:00Z</dcterms:modified>
</cp:coreProperties>
</file>