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6B" w:rsidRPr="002F2A59" w:rsidRDefault="00845199" w:rsidP="002F2A59">
      <w:pPr>
        <w:ind w:left="-360" w:firstLine="360"/>
        <w:jc w:val="center"/>
        <w:rPr>
          <w:rFonts w:ascii="GHEA Grapalat" w:hAnsi="GHEA Grapalat" w:cs="Sylfaen"/>
          <w:b/>
          <w:sz w:val="28"/>
          <w:szCs w:val="28"/>
        </w:rPr>
      </w:pPr>
      <w:r>
        <w:rPr>
          <w:rFonts w:ascii="GHEA Grapalat" w:hAnsi="GHEA Grapalat" w:cs="Sylfaen"/>
          <w:b/>
          <w:sz w:val="28"/>
          <w:szCs w:val="28"/>
        </w:rPr>
        <w:t>Տ</w:t>
      </w:r>
      <w:r w:rsidR="002F2A59" w:rsidRPr="002F2A59">
        <w:rPr>
          <w:rFonts w:ascii="GHEA Grapalat" w:hAnsi="GHEA Grapalat" w:cs="Sylfaen"/>
          <w:b/>
          <w:sz w:val="28"/>
          <w:szCs w:val="28"/>
        </w:rPr>
        <w:t>ԵՂԵԿԱՆՔ</w:t>
      </w:r>
      <w:bookmarkStart w:id="0" w:name="_GoBack"/>
      <w:bookmarkEnd w:id="0"/>
    </w:p>
    <w:p w:rsidR="00102816" w:rsidRDefault="005403D8" w:rsidP="002F2A59">
      <w:pPr>
        <w:ind w:left="-360" w:firstLine="360"/>
        <w:jc w:val="center"/>
        <w:rPr>
          <w:rFonts w:ascii="GHEA Grapalat" w:hAnsi="GHEA Grapalat" w:cs="Sylfaen"/>
          <w:sz w:val="24"/>
          <w:szCs w:val="24"/>
        </w:rPr>
      </w:pPr>
      <w:r w:rsidRPr="005403D8">
        <w:rPr>
          <w:rFonts w:ascii="GHEA Grapalat" w:hAnsi="GHEA Grapalat" w:cs="Sylfaen"/>
          <w:sz w:val="24"/>
          <w:szCs w:val="24"/>
        </w:rPr>
        <w:t>201</w:t>
      </w:r>
      <w:r w:rsidR="00F162EA">
        <w:rPr>
          <w:rFonts w:ascii="GHEA Grapalat" w:hAnsi="GHEA Grapalat" w:cs="Sylfaen"/>
          <w:sz w:val="24"/>
          <w:szCs w:val="24"/>
        </w:rPr>
        <w:t>6</w:t>
      </w:r>
      <w:r w:rsidRPr="005403D8">
        <w:rPr>
          <w:rFonts w:ascii="GHEA Grapalat" w:hAnsi="GHEA Grapalat" w:cs="Sylfaen"/>
          <w:sz w:val="24"/>
          <w:szCs w:val="24"/>
        </w:rPr>
        <w:t>-201</w:t>
      </w:r>
      <w:r w:rsidR="008636F3">
        <w:rPr>
          <w:rFonts w:ascii="GHEA Grapalat" w:hAnsi="GHEA Grapalat" w:cs="Sylfaen"/>
          <w:sz w:val="24"/>
          <w:szCs w:val="24"/>
        </w:rPr>
        <w:t>8</w:t>
      </w:r>
      <w:r w:rsidRPr="005403D8">
        <w:rPr>
          <w:rFonts w:ascii="GHEA Grapalat" w:hAnsi="GHEA Grapalat" w:cs="Sylfaen"/>
          <w:sz w:val="24"/>
          <w:szCs w:val="24"/>
        </w:rPr>
        <w:t xml:space="preserve">թթ. </w:t>
      </w:r>
      <w:r w:rsidR="005573EF" w:rsidRPr="005573EF">
        <w:rPr>
          <w:rFonts w:ascii="GHEA Grapalat" w:hAnsi="GHEA Grapalat" w:cs="Sylfaen"/>
          <w:sz w:val="24"/>
          <w:szCs w:val="24"/>
        </w:rPr>
        <w:t>ՀՀ տնտեսությունըբնութագրողհիմնականմակրոտնտեսականցուցանիշներիվերաբերյալ (հունվար</w:t>
      </w:r>
      <w:r w:rsidR="00CC543C">
        <w:rPr>
          <w:rFonts w:ascii="GHEA Grapalat" w:hAnsi="GHEA Grapalat" w:cs="Sylfaen"/>
          <w:sz w:val="24"/>
          <w:szCs w:val="24"/>
        </w:rPr>
        <w:t>-</w:t>
      </w:r>
      <w:r w:rsidR="00C47532">
        <w:rPr>
          <w:rFonts w:ascii="GHEA Grapalat" w:hAnsi="GHEA Grapalat" w:cs="Sylfaen"/>
          <w:sz w:val="24"/>
          <w:szCs w:val="24"/>
        </w:rPr>
        <w:t>նոյեմբեր</w:t>
      </w:r>
      <w:r w:rsidR="005573EF" w:rsidRPr="005573EF">
        <w:rPr>
          <w:rFonts w:ascii="GHEA Grapalat" w:hAnsi="GHEA Grapalat" w:cs="Sylfaen"/>
          <w:sz w:val="24"/>
          <w:szCs w:val="24"/>
        </w:rPr>
        <w:t>)</w:t>
      </w:r>
      <w:r w:rsidR="00697E19">
        <w:rPr>
          <w:rFonts w:ascii="GHEA Grapalat" w:hAnsi="GHEA Grapalat"/>
          <w:sz w:val="24"/>
          <w:szCs w:val="24"/>
        </w:rPr>
        <w:t>`</w:t>
      </w:r>
      <w:r w:rsidR="00274F9A" w:rsidRPr="00274F9A">
        <w:rPr>
          <w:rFonts w:ascii="GHEA Grapalat" w:hAnsi="GHEA Grapalat" w:cs="Sylfaen"/>
          <w:sz w:val="24"/>
          <w:szCs w:val="24"/>
        </w:rPr>
        <w:t>գծապատկերներով</w:t>
      </w:r>
    </w:p>
    <w:p w:rsidR="00626912" w:rsidRDefault="00C47532" w:rsidP="00626912">
      <w:pPr>
        <w:ind w:left="-360" w:firstLine="360"/>
        <w:rPr>
          <w:rFonts w:ascii="GHEA Grapalat" w:hAnsi="GHEA Grapalat"/>
          <w:sz w:val="24"/>
          <w:szCs w:val="24"/>
        </w:rPr>
      </w:pPr>
      <w:r w:rsidRPr="00C47532">
        <w:rPr>
          <w:rFonts w:ascii="GHEA Grapalat" w:hAnsi="GHEA Grapalat" w:cs="Sylfaen"/>
          <w:sz w:val="24"/>
          <w:szCs w:val="24"/>
        </w:rPr>
        <w:drawing>
          <wp:inline distT="0" distB="0" distL="0" distR="0">
            <wp:extent cx="4711700" cy="2667000"/>
            <wp:effectExtent l="1905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47532">
        <w:rPr>
          <w:rFonts w:ascii="GHEA Grapalat" w:hAnsi="GHEA Grapalat"/>
          <w:sz w:val="24"/>
          <w:szCs w:val="24"/>
        </w:rPr>
        <w:drawing>
          <wp:inline distT="0" distB="0" distL="0" distR="0">
            <wp:extent cx="4572000" cy="2667000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6912" w:rsidRDefault="00626912" w:rsidP="00626912">
      <w:pPr>
        <w:ind w:left="-360" w:firstLine="360"/>
        <w:rPr>
          <w:rFonts w:ascii="GHEA Grapalat" w:hAnsi="GHEA Grapalat"/>
          <w:sz w:val="24"/>
          <w:szCs w:val="24"/>
        </w:rPr>
      </w:pPr>
      <w:r w:rsidRPr="00626912">
        <w:rPr>
          <w:rFonts w:ascii="GHEA Grapalat" w:hAnsi="GHEA Grapalat"/>
          <w:sz w:val="24"/>
          <w:szCs w:val="24"/>
        </w:rPr>
        <w:drawing>
          <wp:inline distT="0" distB="0" distL="0" distR="0">
            <wp:extent cx="4705350" cy="2686050"/>
            <wp:effectExtent l="19050" t="0" r="1905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626912">
        <w:rPr>
          <w:rFonts w:ascii="GHEA Grapalat" w:hAnsi="GHEA Grapalat"/>
          <w:sz w:val="24"/>
          <w:szCs w:val="24"/>
        </w:rPr>
        <w:drawing>
          <wp:inline distT="0" distB="0" distL="0" distR="0">
            <wp:extent cx="4572000" cy="2686050"/>
            <wp:effectExtent l="19050" t="0" r="1905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3AC5" w:rsidRDefault="00323AC5" w:rsidP="00323AC5">
      <w:pPr>
        <w:ind w:left="-360" w:firstLine="360"/>
        <w:rPr>
          <w:rFonts w:ascii="GHEA Grapalat" w:hAnsi="GHEA Grapalat"/>
          <w:sz w:val="24"/>
          <w:szCs w:val="24"/>
        </w:rPr>
      </w:pPr>
      <w:r w:rsidRPr="00323AC5">
        <w:rPr>
          <w:rFonts w:ascii="GHEA Grapalat" w:hAnsi="GHEA Grapalat"/>
          <w:sz w:val="24"/>
          <w:szCs w:val="24"/>
        </w:rPr>
        <w:lastRenderedPageBreak/>
        <w:drawing>
          <wp:inline distT="0" distB="0" distL="0" distR="0">
            <wp:extent cx="4600575" cy="2981325"/>
            <wp:effectExtent l="19050" t="0" r="9525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323AC5">
        <w:rPr>
          <w:rFonts w:ascii="GHEA Grapalat" w:hAnsi="GHEA Grapalat"/>
          <w:sz w:val="24"/>
          <w:szCs w:val="24"/>
        </w:rPr>
        <w:drawing>
          <wp:inline distT="0" distB="0" distL="0" distR="0">
            <wp:extent cx="4619625" cy="2981325"/>
            <wp:effectExtent l="19050" t="0" r="9525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3AC5" w:rsidRDefault="00323AC5" w:rsidP="00323AC5">
      <w:pPr>
        <w:ind w:left="-360" w:firstLine="360"/>
        <w:rPr>
          <w:rFonts w:ascii="GHEA Grapalat" w:hAnsi="GHEA Grapalat"/>
          <w:sz w:val="24"/>
          <w:szCs w:val="24"/>
        </w:rPr>
      </w:pPr>
      <w:r w:rsidRPr="00323AC5">
        <w:rPr>
          <w:rFonts w:ascii="GHEA Grapalat" w:hAnsi="GHEA Grapalat"/>
          <w:sz w:val="24"/>
          <w:szCs w:val="24"/>
        </w:rPr>
        <w:drawing>
          <wp:inline distT="0" distB="0" distL="0" distR="0">
            <wp:extent cx="4574540" cy="2914650"/>
            <wp:effectExtent l="19050" t="0" r="1651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323AC5">
        <w:rPr>
          <w:rFonts w:ascii="GHEA Grapalat" w:hAnsi="GHEA Grapalat"/>
          <w:sz w:val="24"/>
          <w:szCs w:val="24"/>
        </w:rPr>
        <w:drawing>
          <wp:inline distT="0" distB="0" distL="0" distR="0">
            <wp:extent cx="4638675" cy="2914650"/>
            <wp:effectExtent l="19050" t="0" r="9525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231C8" w:rsidRDefault="00323AC5" w:rsidP="00323AC5">
      <w:pPr>
        <w:ind w:left="-360" w:firstLine="360"/>
        <w:rPr>
          <w:rFonts w:ascii="GHEA Grapalat" w:hAnsi="GHEA Grapalat"/>
          <w:sz w:val="24"/>
          <w:szCs w:val="24"/>
        </w:rPr>
      </w:pPr>
      <w:r w:rsidRPr="00323AC5">
        <w:rPr>
          <w:rFonts w:ascii="GHEA Grapalat" w:hAnsi="GHEA Grapalat"/>
          <w:sz w:val="24"/>
          <w:szCs w:val="24"/>
        </w:rPr>
        <w:lastRenderedPageBreak/>
        <w:drawing>
          <wp:inline distT="0" distB="0" distL="0" distR="0">
            <wp:extent cx="4578985" cy="3019425"/>
            <wp:effectExtent l="19050" t="0" r="12065" b="0"/>
            <wp:docPr id="15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323AC5">
        <w:rPr>
          <w:rFonts w:ascii="GHEA Grapalat" w:hAnsi="GHEA Grapalat"/>
          <w:sz w:val="24"/>
          <w:szCs w:val="24"/>
        </w:rPr>
        <w:drawing>
          <wp:inline distT="0" distB="0" distL="0" distR="0">
            <wp:extent cx="4591050" cy="3019425"/>
            <wp:effectExtent l="19050" t="0" r="19050" b="0"/>
            <wp:docPr id="16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02A60" w:rsidRDefault="00323AC5" w:rsidP="00102A60">
      <w:pPr>
        <w:rPr>
          <w:rFonts w:ascii="GHEA Grapalat" w:hAnsi="GHEA Grapalat"/>
          <w:sz w:val="24"/>
          <w:szCs w:val="24"/>
        </w:rPr>
      </w:pPr>
      <w:r w:rsidRPr="00323AC5">
        <w:rPr>
          <w:rFonts w:ascii="GHEA Grapalat" w:hAnsi="GHEA Grapalat"/>
          <w:sz w:val="24"/>
          <w:szCs w:val="24"/>
        </w:rPr>
        <w:drawing>
          <wp:inline distT="0" distB="0" distL="0" distR="0">
            <wp:extent cx="3286125" cy="2933700"/>
            <wp:effectExtent l="19050" t="0" r="9525" b="0"/>
            <wp:docPr id="2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323AC5">
        <w:rPr>
          <w:rFonts w:ascii="GHEA Grapalat" w:hAnsi="GHEA Grapalat"/>
          <w:sz w:val="24"/>
          <w:szCs w:val="24"/>
        </w:rPr>
        <w:drawing>
          <wp:inline distT="0" distB="0" distL="0" distR="0">
            <wp:extent cx="2895600" cy="2933700"/>
            <wp:effectExtent l="19050" t="0" r="19050" b="0"/>
            <wp:docPr id="2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1A784D" w:rsidRPr="001A784D">
        <w:rPr>
          <w:rFonts w:ascii="GHEA Grapalat" w:hAnsi="GHEA Grapalat"/>
          <w:sz w:val="24"/>
          <w:szCs w:val="24"/>
        </w:rPr>
        <w:drawing>
          <wp:inline distT="0" distB="0" distL="0" distR="0">
            <wp:extent cx="2952750" cy="2933700"/>
            <wp:effectExtent l="19050" t="0" r="19050" b="0"/>
            <wp:docPr id="2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E7DD6" w:rsidRDefault="001E7DD6" w:rsidP="00102A60">
      <w:pPr>
        <w:rPr>
          <w:rFonts w:ascii="GHEA Grapalat" w:hAnsi="GHEA Grapalat"/>
          <w:sz w:val="24"/>
          <w:szCs w:val="24"/>
        </w:rPr>
      </w:pPr>
    </w:p>
    <w:p w:rsidR="009C6789" w:rsidRDefault="001A784D" w:rsidP="00013691">
      <w:pPr>
        <w:ind w:left="-360" w:firstLine="360"/>
        <w:rPr>
          <w:rFonts w:ascii="GHEA Grapalat" w:hAnsi="GHEA Grapalat"/>
          <w:sz w:val="24"/>
          <w:szCs w:val="24"/>
        </w:rPr>
      </w:pPr>
      <w:r w:rsidRPr="001A784D">
        <w:rPr>
          <w:rFonts w:ascii="GHEA Grapalat" w:hAnsi="GHEA Grapalat"/>
          <w:sz w:val="24"/>
          <w:szCs w:val="24"/>
        </w:rPr>
        <w:lastRenderedPageBreak/>
        <w:drawing>
          <wp:inline distT="0" distB="0" distL="0" distR="0">
            <wp:extent cx="4676775" cy="3171825"/>
            <wp:effectExtent l="19050" t="0" r="9525" b="0"/>
            <wp:docPr id="25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F27C85">
        <w:rPr>
          <w:rFonts w:ascii="GHEA Grapalat" w:hAnsi="GHEA Grapalat"/>
          <w:sz w:val="24"/>
          <w:szCs w:val="24"/>
        </w:rPr>
        <w:t xml:space="preserve">  </w:t>
      </w:r>
      <w:r w:rsidRPr="001A784D">
        <w:rPr>
          <w:rFonts w:ascii="GHEA Grapalat" w:hAnsi="GHEA Grapalat"/>
          <w:sz w:val="24"/>
          <w:szCs w:val="24"/>
        </w:rPr>
        <w:drawing>
          <wp:inline distT="0" distB="0" distL="0" distR="0">
            <wp:extent cx="4476750" cy="3171825"/>
            <wp:effectExtent l="19050" t="0" r="19050" b="0"/>
            <wp:docPr id="29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13691" w:rsidRPr="007005E7" w:rsidRDefault="00013691" w:rsidP="00013691">
      <w:pPr>
        <w:spacing w:after="0" w:line="240" w:lineRule="auto"/>
        <w:ind w:firstLine="720"/>
        <w:jc w:val="both"/>
        <w:rPr>
          <w:rFonts w:ascii="GHEA Grapalat" w:hAnsi="GHEA Grapalat"/>
          <w:b/>
          <w:sz w:val="16"/>
          <w:szCs w:val="16"/>
        </w:rPr>
      </w:pPr>
      <w:r w:rsidRPr="007005E7">
        <w:rPr>
          <w:rFonts w:ascii="GHEA Grapalat" w:hAnsi="GHEA Grapalat"/>
          <w:b/>
          <w:sz w:val="16"/>
          <w:szCs w:val="16"/>
        </w:rPr>
        <w:t>Տեղեկատվությանաղբյուրներենհանդիսացել`</w:t>
      </w:r>
    </w:p>
    <w:p w:rsidR="001C1675" w:rsidRPr="007005E7" w:rsidRDefault="00013691" w:rsidP="001C16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16"/>
          <w:szCs w:val="16"/>
        </w:rPr>
      </w:pPr>
      <w:r w:rsidRPr="007005E7">
        <w:rPr>
          <w:rFonts w:ascii="GHEA Grapalat" w:hAnsi="GHEA Grapalat" w:cs="Sylfaen"/>
          <w:b/>
          <w:sz w:val="16"/>
          <w:szCs w:val="16"/>
        </w:rPr>
        <w:t>Հայաստանի</w:t>
      </w:r>
      <w:r w:rsidRPr="007005E7">
        <w:rPr>
          <w:rFonts w:ascii="GHEA Grapalat" w:hAnsi="GHEA Grapalat"/>
          <w:b/>
          <w:sz w:val="16"/>
          <w:szCs w:val="16"/>
        </w:rPr>
        <w:t>Հանրապետությանազգայինվիճակագրականծառայությանինտերնետայինկայքիհրապարակումները` ՀՀ սոցիալ-տնտեսականվիճակ</w:t>
      </w:r>
      <w:r w:rsidR="00A81799" w:rsidRPr="007005E7">
        <w:rPr>
          <w:rFonts w:ascii="GHEA Grapalat" w:hAnsi="GHEA Grapalat"/>
          <w:b/>
          <w:sz w:val="16"/>
          <w:szCs w:val="16"/>
        </w:rPr>
        <w:t>իվերաբերյալամս</w:t>
      </w:r>
      <w:r w:rsidR="0061302E">
        <w:rPr>
          <w:rFonts w:ascii="GHEA Grapalat" w:hAnsi="GHEA Grapalat"/>
          <w:b/>
          <w:sz w:val="16"/>
          <w:szCs w:val="16"/>
        </w:rPr>
        <w:t>ա</w:t>
      </w:r>
      <w:r w:rsidR="00A81799" w:rsidRPr="007005E7">
        <w:rPr>
          <w:rFonts w:ascii="GHEA Grapalat" w:hAnsi="GHEA Grapalat"/>
          <w:b/>
          <w:sz w:val="16"/>
          <w:szCs w:val="16"/>
        </w:rPr>
        <w:t>կանտեղեկագրեր</w:t>
      </w:r>
    </w:p>
    <w:p w:rsidR="001E7DD6" w:rsidRPr="007005E7" w:rsidRDefault="00013691" w:rsidP="001C16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16"/>
          <w:szCs w:val="16"/>
        </w:rPr>
      </w:pPr>
      <w:r w:rsidRPr="007005E7">
        <w:rPr>
          <w:rFonts w:ascii="GHEA Grapalat" w:hAnsi="GHEA Grapalat" w:cs="Sylfaen"/>
          <w:b/>
          <w:sz w:val="16"/>
          <w:szCs w:val="16"/>
        </w:rPr>
        <w:t>Հ</w:t>
      </w:r>
      <w:r w:rsidRPr="007005E7">
        <w:rPr>
          <w:rFonts w:ascii="GHEA Grapalat" w:hAnsi="GHEA Grapalat"/>
          <w:b/>
          <w:sz w:val="16"/>
          <w:szCs w:val="16"/>
        </w:rPr>
        <w:t>այաստանիՀանրապետությանԿենտրոնականբանկիինտերնետայինկայքիվիճակագրությանբաժնիհրապարակումները`</w:t>
      </w:r>
      <w:r w:rsidR="0076490C">
        <w:rPr>
          <w:rFonts w:ascii="GHEA Grapalat" w:hAnsi="GHEA Grapalat"/>
          <w:b/>
          <w:sz w:val="16"/>
          <w:szCs w:val="16"/>
        </w:rPr>
        <w:t xml:space="preserve"> </w:t>
      </w:r>
      <w:r w:rsidRPr="007005E7">
        <w:rPr>
          <w:rFonts w:ascii="GHEA Grapalat" w:hAnsi="GHEA Grapalat"/>
          <w:b/>
          <w:sz w:val="16"/>
          <w:szCs w:val="16"/>
        </w:rPr>
        <w:t>ՀՀ բանկերի</w:t>
      </w:r>
      <w:r w:rsidR="0076490C">
        <w:rPr>
          <w:rFonts w:ascii="GHEA Grapalat" w:hAnsi="GHEA Grapalat"/>
          <w:b/>
          <w:sz w:val="16"/>
          <w:szCs w:val="16"/>
        </w:rPr>
        <w:t xml:space="preserve"> </w:t>
      </w:r>
      <w:r w:rsidRPr="007005E7">
        <w:rPr>
          <w:rFonts w:ascii="GHEA Grapalat" w:hAnsi="GHEA Grapalat"/>
          <w:b/>
          <w:sz w:val="16"/>
          <w:szCs w:val="16"/>
        </w:rPr>
        <w:t>միջոցով</w:t>
      </w:r>
      <w:r w:rsidR="0076490C">
        <w:rPr>
          <w:rFonts w:ascii="GHEA Grapalat" w:hAnsi="GHEA Grapalat"/>
          <w:b/>
          <w:sz w:val="16"/>
          <w:szCs w:val="16"/>
        </w:rPr>
        <w:t xml:space="preserve"> </w:t>
      </w:r>
      <w:r w:rsidRPr="007005E7">
        <w:rPr>
          <w:rFonts w:ascii="GHEA Grapalat" w:hAnsi="GHEA Grapalat"/>
          <w:b/>
          <w:sz w:val="16"/>
          <w:szCs w:val="16"/>
        </w:rPr>
        <w:t>ֆիզիկական</w:t>
      </w:r>
      <w:r w:rsidR="0076490C">
        <w:rPr>
          <w:rFonts w:ascii="GHEA Grapalat" w:hAnsi="GHEA Grapalat"/>
          <w:b/>
          <w:sz w:val="16"/>
          <w:szCs w:val="16"/>
        </w:rPr>
        <w:t xml:space="preserve"> </w:t>
      </w:r>
      <w:r w:rsidRPr="007005E7">
        <w:rPr>
          <w:rFonts w:ascii="GHEA Grapalat" w:hAnsi="GHEA Grapalat"/>
          <w:b/>
          <w:sz w:val="16"/>
          <w:szCs w:val="16"/>
        </w:rPr>
        <w:t>անձանց</w:t>
      </w:r>
      <w:r w:rsidR="0076490C">
        <w:rPr>
          <w:rFonts w:ascii="GHEA Grapalat" w:hAnsi="GHEA Grapalat"/>
          <w:b/>
          <w:sz w:val="16"/>
          <w:szCs w:val="16"/>
        </w:rPr>
        <w:t xml:space="preserve"> </w:t>
      </w:r>
      <w:r w:rsidRPr="007005E7">
        <w:rPr>
          <w:rFonts w:ascii="GHEA Grapalat" w:hAnsi="GHEA Grapalat"/>
          <w:b/>
          <w:sz w:val="16"/>
          <w:szCs w:val="16"/>
        </w:rPr>
        <w:t>անունով</w:t>
      </w:r>
      <w:r w:rsidR="0076490C">
        <w:rPr>
          <w:rFonts w:ascii="GHEA Grapalat" w:hAnsi="GHEA Grapalat"/>
          <w:b/>
          <w:sz w:val="16"/>
          <w:szCs w:val="16"/>
        </w:rPr>
        <w:t xml:space="preserve"> </w:t>
      </w:r>
      <w:r w:rsidRPr="007005E7">
        <w:rPr>
          <w:rFonts w:ascii="GHEA Grapalat" w:hAnsi="GHEA Grapalat"/>
          <w:b/>
          <w:sz w:val="16"/>
          <w:szCs w:val="16"/>
        </w:rPr>
        <w:t>արտերկրից</w:t>
      </w:r>
      <w:r w:rsidR="0076490C">
        <w:rPr>
          <w:rFonts w:ascii="GHEA Grapalat" w:hAnsi="GHEA Grapalat"/>
          <w:b/>
          <w:sz w:val="16"/>
          <w:szCs w:val="16"/>
        </w:rPr>
        <w:t xml:space="preserve"> </w:t>
      </w:r>
      <w:r w:rsidRPr="007005E7">
        <w:rPr>
          <w:rFonts w:ascii="GHEA Grapalat" w:hAnsi="GHEA Grapalat"/>
          <w:b/>
          <w:sz w:val="16"/>
          <w:szCs w:val="16"/>
        </w:rPr>
        <w:t>ստացված և ՀՀ–ից</w:t>
      </w:r>
      <w:r w:rsidR="0076490C">
        <w:rPr>
          <w:rFonts w:ascii="GHEA Grapalat" w:hAnsi="GHEA Grapalat"/>
          <w:b/>
          <w:sz w:val="16"/>
          <w:szCs w:val="16"/>
        </w:rPr>
        <w:t xml:space="preserve"> </w:t>
      </w:r>
      <w:r w:rsidRPr="007005E7">
        <w:rPr>
          <w:rFonts w:ascii="GHEA Grapalat" w:hAnsi="GHEA Grapalat"/>
          <w:b/>
          <w:sz w:val="16"/>
          <w:szCs w:val="16"/>
        </w:rPr>
        <w:t>ֆիզիկական</w:t>
      </w:r>
      <w:r w:rsidR="0076490C">
        <w:rPr>
          <w:rFonts w:ascii="GHEA Grapalat" w:hAnsi="GHEA Grapalat"/>
          <w:b/>
          <w:sz w:val="16"/>
          <w:szCs w:val="16"/>
        </w:rPr>
        <w:t xml:space="preserve"> </w:t>
      </w:r>
      <w:r w:rsidRPr="007005E7">
        <w:rPr>
          <w:rFonts w:ascii="GHEA Grapalat" w:hAnsi="GHEA Grapalat"/>
          <w:b/>
          <w:sz w:val="16"/>
          <w:szCs w:val="16"/>
        </w:rPr>
        <w:t>անձանց</w:t>
      </w:r>
      <w:r w:rsidR="0076490C">
        <w:rPr>
          <w:rFonts w:ascii="GHEA Grapalat" w:hAnsi="GHEA Grapalat"/>
          <w:b/>
          <w:sz w:val="16"/>
          <w:szCs w:val="16"/>
        </w:rPr>
        <w:t xml:space="preserve"> </w:t>
      </w:r>
      <w:r w:rsidRPr="007005E7">
        <w:rPr>
          <w:rFonts w:ascii="GHEA Grapalat" w:hAnsi="GHEA Grapalat"/>
          <w:b/>
          <w:sz w:val="16"/>
          <w:szCs w:val="16"/>
        </w:rPr>
        <w:t>կողմից</w:t>
      </w:r>
      <w:r w:rsidR="0076490C">
        <w:rPr>
          <w:rFonts w:ascii="GHEA Grapalat" w:hAnsi="GHEA Grapalat"/>
          <w:b/>
          <w:sz w:val="16"/>
          <w:szCs w:val="16"/>
        </w:rPr>
        <w:t xml:space="preserve"> </w:t>
      </w:r>
      <w:r w:rsidRPr="007005E7">
        <w:rPr>
          <w:rFonts w:ascii="GHEA Grapalat" w:hAnsi="GHEA Grapalat"/>
          <w:b/>
          <w:sz w:val="16"/>
          <w:szCs w:val="16"/>
        </w:rPr>
        <w:t>արտերկիր</w:t>
      </w:r>
      <w:r w:rsidR="0076490C">
        <w:rPr>
          <w:rFonts w:ascii="GHEA Grapalat" w:hAnsi="GHEA Grapalat"/>
          <w:b/>
          <w:sz w:val="16"/>
          <w:szCs w:val="16"/>
        </w:rPr>
        <w:t xml:space="preserve"> </w:t>
      </w:r>
      <w:r w:rsidRPr="007005E7">
        <w:rPr>
          <w:rFonts w:ascii="GHEA Grapalat" w:hAnsi="GHEA Grapalat"/>
          <w:b/>
          <w:sz w:val="16"/>
          <w:szCs w:val="16"/>
        </w:rPr>
        <w:t>իրականացված</w:t>
      </w:r>
      <w:r w:rsidR="0076490C">
        <w:rPr>
          <w:rFonts w:ascii="GHEA Grapalat" w:hAnsi="GHEA Grapalat"/>
          <w:b/>
          <w:sz w:val="16"/>
          <w:szCs w:val="16"/>
        </w:rPr>
        <w:t xml:space="preserve"> </w:t>
      </w:r>
      <w:r w:rsidRPr="007005E7">
        <w:rPr>
          <w:rFonts w:ascii="GHEA Grapalat" w:hAnsi="GHEA Grapalat"/>
          <w:b/>
          <w:sz w:val="16"/>
          <w:szCs w:val="16"/>
        </w:rPr>
        <w:t>փոխանցումներ` ամս</w:t>
      </w:r>
      <w:r w:rsidR="0061302E">
        <w:rPr>
          <w:rFonts w:ascii="GHEA Grapalat" w:hAnsi="GHEA Grapalat"/>
          <w:b/>
          <w:sz w:val="16"/>
          <w:szCs w:val="16"/>
        </w:rPr>
        <w:t>ա</w:t>
      </w:r>
      <w:r w:rsidRPr="007005E7">
        <w:rPr>
          <w:rFonts w:ascii="GHEA Grapalat" w:hAnsi="GHEA Grapalat"/>
          <w:b/>
          <w:sz w:val="16"/>
          <w:szCs w:val="16"/>
        </w:rPr>
        <w:t>կան:</w:t>
      </w:r>
    </w:p>
    <w:sectPr w:rsidR="001E7DD6" w:rsidRPr="007005E7" w:rsidSect="006C6B3A">
      <w:headerReference w:type="default" r:id="rId23"/>
      <w:pgSz w:w="15840" w:h="12240" w:orient="landscape"/>
      <w:pgMar w:top="546" w:right="270" w:bottom="270" w:left="540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C0" w:rsidRDefault="00351EC0" w:rsidP="00AC2D9E">
      <w:pPr>
        <w:spacing w:after="0" w:line="240" w:lineRule="auto"/>
      </w:pPr>
      <w:r>
        <w:separator/>
      </w:r>
    </w:p>
  </w:endnote>
  <w:endnote w:type="continuationSeparator" w:id="1">
    <w:p w:rsidR="00351EC0" w:rsidRDefault="00351EC0" w:rsidP="00AC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C0" w:rsidRDefault="00351EC0" w:rsidP="00AC2D9E">
      <w:pPr>
        <w:spacing w:after="0" w:line="240" w:lineRule="auto"/>
      </w:pPr>
      <w:r>
        <w:separator/>
      </w:r>
    </w:p>
  </w:footnote>
  <w:footnote w:type="continuationSeparator" w:id="1">
    <w:p w:rsidR="00351EC0" w:rsidRDefault="00351EC0" w:rsidP="00AC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CD" w:rsidRPr="006C6B3A" w:rsidRDefault="006C6B3A" w:rsidP="006C6B3A">
    <w:pPr>
      <w:pStyle w:val="Header"/>
      <w:jc w:val="right"/>
    </w:pPr>
    <w:r w:rsidRPr="00F44678">
      <w:rPr>
        <w:noProof/>
      </w:rPr>
      <w:drawing>
        <wp:inline distT="0" distB="0" distL="0" distR="0">
          <wp:extent cx="847725" cy="498004"/>
          <wp:effectExtent l="0" t="0" r="0" b="0"/>
          <wp:docPr id="2" name="Picture 2" descr="C:\Users\Budget.office\Desktop\logo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dget.office\Desktop\logo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354" cy="522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2DF"/>
    <w:multiLevelType w:val="hybridMultilevel"/>
    <w:tmpl w:val="2EC24186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2A59"/>
    <w:rsid w:val="00011783"/>
    <w:rsid w:val="00013691"/>
    <w:rsid w:val="00014996"/>
    <w:rsid w:val="00014E0B"/>
    <w:rsid w:val="00015EAF"/>
    <w:rsid w:val="0002795E"/>
    <w:rsid w:val="000562F4"/>
    <w:rsid w:val="0006054D"/>
    <w:rsid w:val="00064BB9"/>
    <w:rsid w:val="000650B8"/>
    <w:rsid w:val="000675D6"/>
    <w:rsid w:val="0007060F"/>
    <w:rsid w:val="00073E7D"/>
    <w:rsid w:val="0008158C"/>
    <w:rsid w:val="0008501D"/>
    <w:rsid w:val="0009556D"/>
    <w:rsid w:val="000971A6"/>
    <w:rsid w:val="000A31C3"/>
    <w:rsid w:val="000C120D"/>
    <w:rsid w:val="000C1A32"/>
    <w:rsid w:val="000D0BCD"/>
    <w:rsid w:val="00101F08"/>
    <w:rsid w:val="00102816"/>
    <w:rsid w:val="00102A60"/>
    <w:rsid w:val="001052F9"/>
    <w:rsid w:val="00111D23"/>
    <w:rsid w:val="0012000E"/>
    <w:rsid w:val="0012669F"/>
    <w:rsid w:val="00127E87"/>
    <w:rsid w:val="00130E49"/>
    <w:rsid w:val="00135057"/>
    <w:rsid w:val="001476E6"/>
    <w:rsid w:val="00153F6C"/>
    <w:rsid w:val="00160AE9"/>
    <w:rsid w:val="00172A76"/>
    <w:rsid w:val="001753D0"/>
    <w:rsid w:val="001767E4"/>
    <w:rsid w:val="00184797"/>
    <w:rsid w:val="00184E88"/>
    <w:rsid w:val="00194EC9"/>
    <w:rsid w:val="0019787B"/>
    <w:rsid w:val="001A784D"/>
    <w:rsid w:val="001B0B81"/>
    <w:rsid w:val="001B69C2"/>
    <w:rsid w:val="001C0EB4"/>
    <w:rsid w:val="001C1675"/>
    <w:rsid w:val="001D2D9A"/>
    <w:rsid w:val="001D6A45"/>
    <w:rsid w:val="001E1C18"/>
    <w:rsid w:val="001E262C"/>
    <w:rsid w:val="001E6473"/>
    <w:rsid w:val="001E7DD6"/>
    <w:rsid w:val="001E7E9A"/>
    <w:rsid w:val="001F0127"/>
    <w:rsid w:val="001F2E6E"/>
    <w:rsid w:val="001F4A46"/>
    <w:rsid w:val="002003E2"/>
    <w:rsid w:val="00201179"/>
    <w:rsid w:val="00202039"/>
    <w:rsid w:val="00212BB3"/>
    <w:rsid w:val="0022036B"/>
    <w:rsid w:val="00227F84"/>
    <w:rsid w:val="002324A1"/>
    <w:rsid w:val="002424D3"/>
    <w:rsid w:val="0025031E"/>
    <w:rsid w:val="00250649"/>
    <w:rsid w:val="00253363"/>
    <w:rsid w:val="002601CF"/>
    <w:rsid w:val="00261BD4"/>
    <w:rsid w:val="00262AB4"/>
    <w:rsid w:val="00270CA5"/>
    <w:rsid w:val="0027432F"/>
    <w:rsid w:val="00274F9A"/>
    <w:rsid w:val="0029470F"/>
    <w:rsid w:val="00296A6A"/>
    <w:rsid w:val="002A0970"/>
    <w:rsid w:val="002B0BD8"/>
    <w:rsid w:val="002C0B14"/>
    <w:rsid w:val="002C1B34"/>
    <w:rsid w:val="002C7775"/>
    <w:rsid w:val="002D2278"/>
    <w:rsid w:val="002D3E86"/>
    <w:rsid w:val="002E2575"/>
    <w:rsid w:val="002E3F84"/>
    <w:rsid w:val="002F2A59"/>
    <w:rsid w:val="002F6E81"/>
    <w:rsid w:val="003003CC"/>
    <w:rsid w:val="00304E24"/>
    <w:rsid w:val="003200FD"/>
    <w:rsid w:val="0032061B"/>
    <w:rsid w:val="00323AC5"/>
    <w:rsid w:val="003361C0"/>
    <w:rsid w:val="00340F82"/>
    <w:rsid w:val="00345F90"/>
    <w:rsid w:val="00351EC0"/>
    <w:rsid w:val="003670A8"/>
    <w:rsid w:val="0039437C"/>
    <w:rsid w:val="003A58E5"/>
    <w:rsid w:val="003A5EBA"/>
    <w:rsid w:val="003B0CBA"/>
    <w:rsid w:val="003B1050"/>
    <w:rsid w:val="003C7B39"/>
    <w:rsid w:val="003D38B7"/>
    <w:rsid w:val="003D4335"/>
    <w:rsid w:val="003D5370"/>
    <w:rsid w:val="003D555C"/>
    <w:rsid w:val="003E6ABA"/>
    <w:rsid w:val="003F4D60"/>
    <w:rsid w:val="00405277"/>
    <w:rsid w:val="00406E0A"/>
    <w:rsid w:val="004153E0"/>
    <w:rsid w:val="0042150B"/>
    <w:rsid w:val="00440E2C"/>
    <w:rsid w:val="00440FAF"/>
    <w:rsid w:val="004542E2"/>
    <w:rsid w:val="00455B1D"/>
    <w:rsid w:val="00460B7D"/>
    <w:rsid w:val="00461DE6"/>
    <w:rsid w:val="004661F4"/>
    <w:rsid w:val="00480140"/>
    <w:rsid w:val="00482ADD"/>
    <w:rsid w:val="00487DE4"/>
    <w:rsid w:val="004B29FC"/>
    <w:rsid w:val="004B3A6B"/>
    <w:rsid w:val="004B6883"/>
    <w:rsid w:val="004B6FE4"/>
    <w:rsid w:val="004C181A"/>
    <w:rsid w:val="004D38E0"/>
    <w:rsid w:val="004F2B23"/>
    <w:rsid w:val="0050072C"/>
    <w:rsid w:val="00506600"/>
    <w:rsid w:val="00507820"/>
    <w:rsid w:val="00513FFD"/>
    <w:rsid w:val="00521681"/>
    <w:rsid w:val="00522D9B"/>
    <w:rsid w:val="005244EF"/>
    <w:rsid w:val="00530666"/>
    <w:rsid w:val="005333D4"/>
    <w:rsid w:val="00534F48"/>
    <w:rsid w:val="00535DEF"/>
    <w:rsid w:val="005403D8"/>
    <w:rsid w:val="005573EF"/>
    <w:rsid w:val="005620CB"/>
    <w:rsid w:val="0057700D"/>
    <w:rsid w:val="00581E88"/>
    <w:rsid w:val="0058205D"/>
    <w:rsid w:val="00587084"/>
    <w:rsid w:val="005952E4"/>
    <w:rsid w:val="005A0B2F"/>
    <w:rsid w:val="005B1A4E"/>
    <w:rsid w:val="005B7200"/>
    <w:rsid w:val="005C63AF"/>
    <w:rsid w:val="005D5AFC"/>
    <w:rsid w:val="005E0215"/>
    <w:rsid w:val="005E25E6"/>
    <w:rsid w:val="005F2BC4"/>
    <w:rsid w:val="005F7BA7"/>
    <w:rsid w:val="006023A6"/>
    <w:rsid w:val="00604084"/>
    <w:rsid w:val="0061302E"/>
    <w:rsid w:val="00615643"/>
    <w:rsid w:val="006204FF"/>
    <w:rsid w:val="00626912"/>
    <w:rsid w:val="00630298"/>
    <w:rsid w:val="006312BF"/>
    <w:rsid w:val="006324C3"/>
    <w:rsid w:val="00632DA9"/>
    <w:rsid w:val="00636546"/>
    <w:rsid w:val="006378AC"/>
    <w:rsid w:val="00640328"/>
    <w:rsid w:val="006438C5"/>
    <w:rsid w:val="0064680E"/>
    <w:rsid w:val="00655DF8"/>
    <w:rsid w:val="00660C01"/>
    <w:rsid w:val="006610FD"/>
    <w:rsid w:val="00672C70"/>
    <w:rsid w:val="00677048"/>
    <w:rsid w:val="00683871"/>
    <w:rsid w:val="006927B1"/>
    <w:rsid w:val="00695021"/>
    <w:rsid w:val="00697E19"/>
    <w:rsid w:val="006A61EA"/>
    <w:rsid w:val="006B5023"/>
    <w:rsid w:val="006B6EF3"/>
    <w:rsid w:val="006C6B3A"/>
    <w:rsid w:val="006D02A5"/>
    <w:rsid w:val="006D77DE"/>
    <w:rsid w:val="006F5787"/>
    <w:rsid w:val="006F698B"/>
    <w:rsid w:val="007005E7"/>
    <w:rsid w:val="00705CF9"/>
    <w:rsid w:val="007061B2"/>
    <w:rsid w:val="00707C0F"/>
    <w:rsid w:val="00721ACE"/>
    <w:rsid w:val="00734466"/>
    <w:rsid w:val="00735A39"/>
    <w:rsid w:val="007366BE"/>
    <w:rsid w:val="00745186"/>
    <w:rsid w:val="007501F7"/>
    <w:rsid w:val="0076490C"/>
    <w:rsid w:val="00767623"/>
    <w:rsid w:val="0079129C"/>
    <w:rsid w:val="00795E20"/>
    <w:rsid w:val="007A4C0F"/>
    <w:rsid w:val="007A694E"/>
    <w:rsid w:val="007A7000"/>
    <w:rsid w:val="007A74E8"/>
    <w:rsid w:val="007B37F5"/>
    <w:rsid w:val="007B4FE1"/>
    <w:rsid w:val="007C0AE2"/>
    <w:rsid w:val="007C3361"/>
    <w:rsid w:val="007D095A"/>
    <w:rsid w:val="007D484C"/>
    <w:rsid w:val="007E1C65"/>
    <w:rsid w:val="007F333A"/>
    <w:rsid w:val="00803D24"/>
    <w:rsid w:val="0081180D"/>
    <w:rsid w:val="00811EF3"/>
    <w:rsid w:val="00816579"/>
    <w:rsid w:val="00841547"/>
    <w:rsid w:val="00843B3E"/>
    <w:rsid w:val="00845199"/>
    <w:rsid w:val="00850990"/>
    <w:rsid w:val="008636F3"/>
    <w:rsid w:val="00867138"/>
    <w:rsid w:val="00870673"/>
    <w:rsid w:val="00871E73"/>
    <w:rsid w:val="00877BC0"/>
    <w:rsid w:val="00881E47"/>
    <w:rsid w:val="008A36E5"/>
    <w:rsid w:val="008A5AC2"/>
    <w:rsid w:val="008B5ACF"/>
    <w:rsid w:val="008C11DD"/>
    <w:rsid w:val="008C2FD5"/>
    <w:rsid w:val="008C5278"/>
    <w:rsid w:val="008C65E6"/>
    <w:rsid w:val="008D01E6"/>
    <w:rsid w:val="008D0DC3"/>
    <w:rsid w:val="008D75B0"/>
    <w:rsid w:val="008F0973"/>
    <w:rsid w:val="008F224E"/>
    <w:rsid w:val="008F6A42"/>
    <w:rsid w:val="008F7B11"/>
    <w:rsid w:val="00906B96"/>
    <w:rsid w:val="00917363"/>
    <w:rsid w:val="00917642"/>
    <w:rsid w:val="00917ADA"/>
    <w:rsid w:val="009212B0"/>
    <w:rsid w:val="00923985"/>
    <w:rsid w:val="00927F36"/>
    <w:rsid w:val="00934D90"/>
    <w:rsid w:val="00947826"/>
    <w:rsid w:val="00953C27"/>
    <w:rsid w:val="00957F1F"/>
    <w:rsid w:val="00986A17"/>
    <w:rsid w:val="009A1158"/>
    <w:rsid w:val="009C34ED"/>
    <w:rsid w:val="009C433D"/>
    <w:rsid w:val="009C5964"/>
    <w:rsid w:val="009C6789"/>
    <w:rsid w:val="009C6F99"/>
    <w:rsid w:val="009D3979"/>
    <w:rsid w:val="009E0B93"/>
    <w:rsid w:val="009E294D"/>
    <w:rsid w:val="009E66DD"/>
    <w:rsid w:val="009E68F6"/>
    <w:rsid w:val="009E7ED1"/>
    <w:rsid w:val="00A045DD"/>
    <w:rsid w:val="00A124D7"/>
    <w:rsid w:val="00A36CD4"/>
    <w:rsid w:val="00A40DCD"/>
    <w:rsid w:val="00A45DC7"/>
    <w:rsid w:val="00A81799"/>
    <w:rsid w:val="00AC2D9E"/>
    <w:rsid w:val="00AC75A4"/>
    <w:rsid w:val="00AD6420"/>
    <w:rsid w:val="00B00B2A"/>
    <w:rsid w:val="00B049B0"/>
    <w:rsid w:val="00B127D0"/>
    <w:rsid w:val="00B1681D"/>
    <w:rsid w:val="00B231C8"/>
    <w:rsid w:val="00B425ED"/>
    <w:rsid w:val="00B42D82"/>
    <w:rsid w:val="00B55DF2"/>
    <w:rsid w:val="00B61515"/>
    <w:rsid w:val="00B619F8"/>
    <w:rsid w:val="00B61D27"/>
    <w:rsid w:val="00B63EB8"/>
    <w:rsid w:val="00B83818"/>
    <w:rsid w:val="00B84B20"/>
    <w:rsid w:val="00B85680"/>
    <w:rsid w:val="00B8658A"/>
    <w:rsid w:val="00BA1023"/>
    <w:rsid w:val="00BB238E"/>
    <w:rsid w:val="00BD3858"/>
    <w:rsid w:val="00BD46C8"/>
    <w:rsid w:val="00BD7408"/>
    <w:rsid w:val="00BE1F58"/>
    <w:rsid w:val="00BE2AF8"/>
    <w:rsid w:val="00C00377"/>
    <w:rsid w:val="00C017E6"/>
    <w:rsid w:val="00C05E66"/>
    <w:rsid w:val="00C132D9"/>
    <w:rsid w:val="00C1557D"/>
    <w:rsid w:val="00C16088"/>
    <w:rsid w:val="00C26433"/>
    <w:rsid w:val="00C277E0"/>
    <w:rsid w:val="00C47532"/>
    <w:rsid w:val="00C53653"/>
    <w:rsid w:val="00C56062"/>
    <w:rsid w:val="00C62181"/>
    <w:rsid w:val="00C80E76"/>
    <w:rsid w:val="00C94387"/>
    <w:rsid w:val="00C94D95"/>
    <w:rsid w:val="00CB051C"/>
    <w:rsid w:val="00CB4CA1"/>
    <w:rsid w:val="00CC4DFC"/>
    <w:rsid w:val="00CC543C"/>
    <w:rsid w:val="00CC6383"/>
    <w:rsid w:val="00CD2C49"/>
    <w:rsid w:val="00CE2B51"/>
    <w:rsid w:val="00CE383A"/>
    <w:rsid w:val="00CF0868"/>
    <w:rsid w:val="00CF14B8"/>
    <w:rsid w:val="00CF259D"/>
    <w:rsid w:val="00CF3581"/>
    <w:rsid w:val="00CF405D"/>
    <w:rsid w:val="00CF423E"/>
    <w:rsid w:val="00CF4D61"/>
    <w:rsid w:val="00D0344D"/>
    <w:rsid w:val="00D11848"/>
    <w:rsid w:val="00D11D4F"/>
    <w:rsid w:val="00D14A9F"/>
    <w:rsid w:val="00D221F8"/>
    <w:rsid w:val="00D34BAE"/>
    <w:rsid w:val="00D37045"/>
    <w:rsid w:val="00D50656"/>
    <w:rsid w:val="00D53C3D"/>
    <w:rsid w:val="00D552AF"/>
    <w:rsid w:val="00D56C49"/>
    <w:rsid w:val="00D6193B"/>
    <w:rsid w:val="00D67B14"/>
    <w:rsid w:val="00D8356A"/>
    <w:rsid w:val="00D83A0C"/>
    <w:rsid w:val="00DA4DD6"/>
    <w:rsid w:val="00DB08F9"/>
    <w:rsid w:val="00DB46EB"/>
    <w:rsid w:val="00DC4FC1"/>
    <w:rsid w:val="00DC51AA"/>
    <w:rsid w:val="00DC5454"/>
    <w:rsid w:val="00DD1BED"/>
    <w:rsid w:val="00DD5BA3"/>
    <w:rsid w:val="00DF425E"/>
    <w:rsid w:val="00E0173A"/>
    <w:rsid w:val="00E07AEA"/>
    <w:rsid w:val="00E12B3D"/>
    <w:rsid w:val="00E14906"/>
    <w:rsid w:val="00E20590"/>
    <w:rsid w:val="00E267D1"/>
    <w:rsid w:val="00E305FB"/>
    <w:rsid w:val="00E311F1"/>
    <w:rsid w:val="00E418AB"/>
    <w:rsid w:val="00E45E09"/>
    <w:rsid w:val="00E473FC"/>
    <w:rsid w:val="00E53F47"/>
    <w:rsid w:val="00E572E5"/>
    <w:rsid w:val="00E576E1"/>
    <w:rsid w:val="00E7138C"/>
    <w:rsid w:val="00E7371B"/>
    <w:rsid w:val="00E90F23"/>
    <w:rsid w:val="00E93F7F"/>
    <w:rsid w:val="00EB1283"/>
    <w:rsid w:val="00EB2DE5"/>
    <w:rsid w:val="00EC11CC"/>
    <w:rsid w:val="00ED0F8A"/>
    <w:rsid w:val="00EF75DA"/>
    <w:rsid w:val="00EF7F1B"/>
    <w:rsid w:val="00F057EC"/>
    <w:rsid w:val="00F14217"/>
    <w:rsid w:val="00F162EA"/>
    <w:rsid w:val="00F25BC9"/>
    <w:rsid w:val="00F25E75"/>
    <w:rsid w:val="00F276EA"/>
    <w:rsid w:val="00F27C85"/>
    <w:rsid w:val="00F336DE"/>
    <w:rsid w:val="00F37C49"/>
    <w:rsid w:val="00F37DA5"/>
    <w:rsid w:val="00F4081C"/>
    <w:rsid w:val="00F40D2C"/>
    <w:rsid w:val="00F51D59"/>
    <w:rsid w:val="00F54A0F"/>
    <w:rsid w:val="00F54CC6"/>
    <w:rsid w:val="00F63873"/>
    <w:rsid w:val="00F63F57"/>
    <w:rsid w:val="00F74366"/>
    <w:rsid w:val="00F779CB"/>
    <w:rsid w:val="00F96C1F"/>
    <w:rsid w:val="00FA1371"/>
    <w:rsid w:val="00FA3C32"/>
    <w:rsid w:val="00FB1434"/>
    <w:rsid w:val="00FD223E"/>
    <w:rsid w:val="00FD35C3"/>
    <w:rsid w:val="00FD6352"/>
    <w:rsid w:val="00FE6288"/>
    <w:rsid w:val="00FE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D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D9E"/>
  </w:style>
  <w:style w:type="paragraph" w:styleId="Footer">
    <w:name w:val="footer"/>
    <w:basedOn w:val="Normal"/>
    <w:link w:val="FooterChar"/>
    <w:uiPriority w:val="99"/>
    <w:unhideWhenUsed/>
    <w:rsid w:val="00AC2D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D9E"/>
  </w:style>
  <w:style w:type="paragraph" w:styleId="ListParagraph">
    <w:name w:val="List Paragraph"/>
    <w:basedOn w:val="Normal"/>
    <w:uiPriority w:val="34"/>
    <w:qFormat/>
    <w:rsid w:val="001E7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MACROTNTESAKAN\JanNov2018\Book1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MACROTNTESAKAN\JanNov2018\Book1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MACROTNTESAKAN\JanNov2018\Book1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MACROTNTESAKAN\JanNov2018\Book1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MACROTNTESAKAN\JanNov2018\Book1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MACROTNTESAKAN\JanNov2018\Book1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MACROTNTESAKAN\JanNov2018\Book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MACROTNTESAKAN\JanNov2018\Book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MACROTNTESAKAN\JanNov2018\Book1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MACROTNTESAKAN\JanNov2018\Book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MACROTNTESAKAN\JanNov2018\Book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MACROTNTESAKAN\JanNov2018\Book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MACROTNTESAKAN\JanNov2018\Book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MACROTNTESAKAN\JanNov2018\Book1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MACROTNTESAKAN\JanNov2018\Book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 sz="1000"/>
              <a:t>Տնտեսական ակտիվության ցուցանիշը նախորդ տարվա նույն ժամանակահատվածի նկատմամբ (%)</a:t>
            </a:r>
          </a:p>
        </c:rich>
      </c:tx>
    </c:title>
    <c:plotArea>
      <c:layout>
        <c:manualLayout>
          <c:layoutTarget val="inner"/>
          <c:xMode val="edge"/>
          <c:yMode val="edge"/>
          <c:x val="8.8535348175817721E-2"/>
          <c:y val="0.17571428571428574"/>
          <c:w val="0.88181505613685085"/>
          <c:h val="0.70304761904761903"/>
        </c:manualLayout>
      </c:layout>
      <c:barChart>
        <c:barDir val="col"/>
        <c:grouping val="clustered"/>
        <c:ser>
          <c:idx val="0"/>
          <c:order val="0"/>
          <c:tx>
            <c:strRef>
              <c:f>Sheet1!$B$5</c:f>
              <c:strCache>
                <c:ptCount val="1"/>
                <c:pt idx="0">
                  <c:v>Տնտեսական ակտիվության ցուցանիշը (ՏԱՑ)</c:v>
                </c:pt>
              </c:strCache>
            </c:strRef>
          </c:tx>
          <c:dLbls>
            <c:dLbl>
              <c:idx val="0"/>
              <c:layout>
                <c:manualLayout>
                  <c:x val="-1.0946367553112466E-2"/>
                  <c:y val="1.190476190476190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8.0862533692722376E-3"/>
                  <c:y val="-0.11428571428571425"/>
                </c:manualLayout>
              </c:layout>
              <c:dLblPos val="inEnd"/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dLblPos val="inEnd"/>
            <c:showVal val="1"/>
          </c:dLbls>
          <c:cat>
            <c:strRef>
              <c:f>Sheet1!$C$4:$E$4</c:f>
              <c:strCache>
                <c:ptCount val="3"/>
                <c:pt idx="0">
                  <c:v>2016թ. հունվար-նոյեմբեր</c:v>
                </c:pt>
                <c:pt idx="1">
                  <c:v>2017թ. հունվար-նոյեմբեր</c:v>
                </c:pt>
                <c:pt idx="2">
                  <c:v>2018թ. հունվար-նոյեմբեր</c:v>
                </c:pt>
              </c:strCache>
            </c:strRef>
          </c:cat>
          <c:val>
            <c:numRef>
              <c:f>Sheet1!$C$5:$E$5</c:f>
              <c:numCache>
                <c:formatCode>0.0</c:formatCode>
                <c:ptCount val="3"/>
                <c:pt idx="0" formatCode="General">
                  <c:v>100.8</c:v>
                </c:pt>
                <c:pt idx="1">
                  <c:v>107.2</c:v>
                </c:pt>
                <c:pt idx="2">
                  <c:v>105.7</c:v>
                </c:pt>
              </c:numCache>
            </c:numRef>
          </c:val>
        </c:ser>
        <c:gapWidth val="75"/>
        <c:overlap val="40"/>
        <c:axId val="103280640"/>
        <c:axId val="103283328"/>
      </c:barChart>
      <c:catAx>
        <c:axId val="103280640"/>
        <c:scaling>
          <c:orientation val="minMax"/>
        </c:scaling>
        <c:axPos val="b"/>
        <c:numFmt formatCode="0.00" sourceLinked="1"/>
        <c:maj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03283328"/>
        <c:crosses val="autoZero"/>
        <c:auto val="1"/>
        <c:lblAlgn val="ctr"/>
        <c:lblOffset val="100"/>
      </c:catAx>
      <c:valAx>
        <c:axId val="1032833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032806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2.7662517289073324E-3"/>
          <c:y val="0.21081960969389871"/>
          <c:w val="0.98616874135546329"/>
          <c:h val="0.68162348791574567"/>
        </c:manualLayout>
      </c:layout>
      <c:barChart>
        <c:barDir val="col"/>
        <c:grouping val="clustered"/>
        <c:ser>
          <c:idx val="0"/>
          <c:order val="0"/>
          <c:tx>
            <c:strRef>
              <c:f>Sheet1!$B$214</c:f>
              <c:strCache>
                <c:ptCount val="1"/>
                <c:pt idx="0">
                  <c:v>Աշխատանք փնտրողներ, ընդամենը ժամանակաշրջանի վերջին ամսվա դրությամբ, մարդ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Sheet1!$C$213:$E$213</c:f>
              <c:strCache>
                <c:ptCount val="3"/>
                <c:pt idx="0">
                  <c:v>2016թ. հունվար-նոյեմբեր</c:v>
                </c:pt>
                <c:pt idx="1">
                  <c:v>2017թ. հունվար-նոյեմբեր</c:v>
                </c:pt>
                <c:pt idx="2">
                  <c:v>2018թ. հունվար-նոյեմբեր</c:v>
                </c:pt>
              </c:strCache>
            </c:strRef>
          </c:cat>
          <c:val>
            <c:numRef>
              <c:f>Sheet1!$C$214:$E$214</c:f>
              <c:numCache>
                <c:formatCode>#,##0.0;[Red]#,##0.0</c:formatCode>
                <c:ptCount val="3"/>
                <c:pt idx="0">
                  <c:v>95821</c:v>
                </c:pt>
                <c:pt idx="1">
                  <c:v>87121</c:v>
                </c:pt>
                <c:pt idx="2">
                  <c:v>81849</c:v>
                </c:pt>
              </c:numCache>
            </c:numRef>
          </c:val>
        </c:ser>
        <c:ser>
          <c:idx val="1"/>
          <c:order val="1"/>
          <c:tx>
            <c:strRef>
              <c:f>Sheet1!$B$215</c:f>
              <c:strCache>
                <c:ptCount val="1"/>
                <c:pt idx="0">
                  <c:v>Պաշտոնապես գրանցված գործազուրկների միջին ամսական թվաքանակը, ընդամենը ժամանակաշրջանի վերջին ամսվա դրությամբ, մարդ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Sheet1!$C$213:$E$213</c:f>
              <c:strCache>
                <c:ptCount val="3"/>
                <c:pt idx="0">
                  <c:v>2016թ. հունվար-նոյեմբեր</c:v>
                </c:pt>
                <c:pt idx="1">
                  <c:v>2017թ. հունվար-նոյեմբեր</c:v>
                </c:pt>
                <c:pt idx="2">
                  <c:v>2018թ. հունվար-նոյեմբեր</c:v>
                </c:pt>
              </c:strCache>
            </c:strRef>
          </c:cat>
          <c:val>
            <c:numRef>
              <c:f>Sheet1!$C$215:$E$215</c:f>
              <c:numCache>
                <c:formatCode>#,##0.0;[Red]#,##0.0</c:formatCode>
                <c:ptCount val="3"/>
                <c:pt idx="0">
                  <c:v>80855</c:v>
                </c:pt>
                <c:pt idx="1">
                  <c:v>72142</c:v>
                </c:pt>
                <c:pt idx="2">
                  <c:v>65366</c:v>
                </c:pt>
              </c:numCache>
            </c:numRef>
          </c:val>
        </c:ser>
        <c:dLbls>
          <c:showVal val="1"/>
        </c:dLbls>
        <c:overlap val="-25"/>
        <c:axId val="103795328"/>
        <c:axId val="129057152"/>
      </c:barChart>
      <c:catAx>
        <c:axId val="103795328"/>
        <c:scaling>
          <c:orientation val="minMax"/>
        </c:scaling>
        <c:axPos val="b"/>
        <c:numFmt formatCode="0.00" sourceLinked="1"/>
        <c:maj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29057152"/>
        <c:crosses val="autoZero"/>
        <c:auto val="1"/>
        <c:lblAlgn val="ctr"/>
        <c:lblOffset val="100"/>
      </c:catAx>
      <c:valAx>
        <c:axId val="129057152"/>
        <c:scaling>
          <c:orientation val="minMax"/>
        </c:scaling>
        <c:delete val="1"/>
        <c:axPos val="l"/>
        <c:numFmt formatCode="#,##0.0;[Red]#,##0.0" sourceLinked="1"/>
        <c:tickLblPos val="nextTo"/>
        <c:crossAx val="10379532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676936648479109E-3"/>
          <c:y val="2.5236593059936911E-2"/>
          <c:w val="0.99541216061685212"/>
          <c:h val="0.21612161255868251"/>
        </c:manualLayout>
      </c:layout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hy-AM" sz="1000" b="1" i="0" strike="noStrike">
                <a:solidFill>
                  <a:srgbClr val="000000"/>
                </a:solidFill>
                <a:latin typeface="GHEA Grapalat"/>
              </a:rPr>
              <a:t>Միջին ամսական անվանական աշխատավարձը աճողական, դրամ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hy-AM" sz="1000" b="1" i="0" strike="noStrike">
              <a:solidFill>
                <a:srgbClr val="000000"/>
              </a:solidFill>
              <a:latin typeface="GHEA Grapalat"/>
            </a:endParaRPr>
          </a:p>
        </c:rich>
      </c:tx>
    </c:title>
    <c:plotArea>
      <c:layout>
        <c:manualLayout>
          <c:layoutTarget val="inner"/>
          <c:xMode val="edge"/>
          <c:yMode val="edge"/>
          <c:x val="4.0412339761877492E-4"/>
          <c:y val="0.17246753246753252"/>
          <c:w val="0.99959587660238136"/>
          <c:h val="0.6393939393939394"/>
        </c:manualLayout>
      </c:layout>
      <c:barChart>
        <c:barDir val="col"/>
        <c:grouping val="clustered"/>
        <c:ser>
          <c:idx val="0"/>
          <c:order val="0"/>
          <c:tx>
            <c:strRef>
              <c:f>Sheet1!$B$234</c:f>
              <c:strCache>
                <c:ptCount val="1"/>
                <c:pt idx="0">
                  <c:v>Միջին ամսական անվանական աշխատավարձը աճողական, դրամ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Sheet1!$C$233:$E$233</c:f>
              <c:strCache>
                <c:ptCount val="3"/>
                <c:pt idx="0">
                  <c:v>2016թ. հունվար-նոյեմբեր</c:v>
                </c:pt>
                <c:pt idx="1">
                  <c:v>2017թ. հունվար-նոյեմբեր</c:v>
                </c:pt>
                <c:pt idx="2">
                  <c:v>2018թ. հունվար-նոյեմբեր</c:v>
                </c:pt>
              </c:strCache>
            </c:strRef>
          </c:cat>
          <c:val>
            <c:numRef>
              <c:f>Sheet1!$C$234:$E$234</c:f>
              <c:numCache>
                <c:formatCode>#,##0.0;[Red]#,##0.0</c:formatCode>
                <c:ptCount val="3"/>
                <c:pt idx="0">
                  <c:v>184758</c:v>
                </c:pt>
                <c:pt idx="1">
                  <c:v>189631</c:v>
                </c:pt>
                <c:pt idx="2">
                  <c:v>168799</c:v>
                </c:pt>
              </c:numCache>
            </c:numRef>
          </c:val>
        </c:ser>
        <c:dLbls>
          <c:showVal val="1"/>
        </c:dLbls>
        <c:overlap val="-25"/>
        <c:axId val="129245184"/>
        <c:axId val="129246720"/>
      </c:barChart>
      <c:catAx>
        <c:axId val="129245184"/>
        <c:scaling>
          <c:orientation val="minMax"/>
        </c:scaling>
        <c:axPos val="b"/>
        <c:numFmt formatCode="0.00" sourceLinked="1"/>
        <c:maj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29246720"/>
        <c:crosses val="autoZero"/>
        <c:auto val="1"/>
        <c:lblAlgn val="ctr"/>
        <c:lblOffset val="100"/>
      </c:catAx>
      <c:valAx>
        <c:axId val="129246720"/>
        <c:scaling>
          <c:orientation val="minMax"/>
        </c:scaling>
        <c:delete val="1"/>
        <c:axPos val="l"/>
        <c:numFmt formatCode="#,##0.0;[Red]#,##0.0" sourceLinked="1"/>
        <c:tickLblPos val="nextTo"/>
        <c:crossAx val="1292451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 sz="800"/>
              <a:t>ՀՀ բանկերի միջոցով ֆիզիկական անձանց անունով արտերկրից ստացված և ՀՀ-ից ֆիզիկական անձանց կողմից արտերկիր իրականացված փոխանցումներ (հազ. դոլար)</a:t>
            </a:r>
          </a:p>
        </c:rich>
      </c:tx>
      <c:layout>
        <c:manualLayout>
          <c:xMode val="edge"/>
          <c:yMode val="edge"/>
          <c:x val="0.10576768067925947"/>
          <c:y val="1.3888888888888904E-2"/>
        </c:manualLayout>
      </c:layout>
    </c:title>
    <c:plotArea>
      <c:layout>
        <c:manualLayout>
          <c:layoutTarget val="inner"/>
          <c:xMode val="edge"/>
          <c:yMode val="edge"/>
          <c:x val="5.8468020444813124E-4"/>
          <c:y val="0.42935439888195798"/>
          <c:w val="0.99883029423953584"/>
          <c:h val="0.4469431093840544"/>
        </c:manualLayout>
      </c:layout>
      <c:barChart>
        <c:barDir val="col"/>
        <c:grouping val="clustered"/>
        <c:ser>
          <c:idx val="1"/>
          <c:order val="0"/>
          <c:tx>
            <c:strRef>
              <c:f>Sheet1!$C$253</c:f>
              <c:strCache>
                <c:ptCount val="1"/>
                <c:pt idx="0">
                  <c:v>2016թ. հունվար-նոյեմբեր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Sheet1!$B$254:$B$256</c:f>
              <c:strCache>
                <c:ptCount val="3"/>
                <c:pt idx="0">
                  <c:v>Ներհոսք</c:v>
                </c:pt>
                <c:pt idx="1">
                  <c:v> Արտահոսք</c:v>
                </c:pt>
                <c:pt idx="2">
                  <c:v>Զուտ Ներհոսք</c:v>
                </c:pt>
              </c:strCache>
            </c:strRef>
          </c:cat>
          <c:val>
            <c:numRef>
              <c:f>Sheet1!$C$254:$C$256</c:f>
              <c:numCache>
                <c:formatCode>#,##0.00</c:formatCode>
                <c:ptCount val="3"/>
                <c:pt idx="0">
                  <c:v>1321310.6800000002</c:v>
                </c:pt>
                <c:pt idx="1">
                  <c:v>707956.23</c:v>
                </c:pt>
                <c:pt idx="2">
                  <c:v>613354.44999999984</c:v>
                </c:pt>
              </c:numCache>
            </c:numRef>
          </c:val>
        </c:ser>
        <c:ser>
          <c:idx val="2"/>
          <c:order val="1"/>
          <c:tx>
            <c:strRef>
              <c:f>Sheet1!$D$253</c:f>
              <c:strCache>
                <c:ptCount val="1"/>
                <c:pt idx="0">
                  <c:v>2017թ. հունվար-նոյեմբեր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Sheet1!$B$254:$B$256</c:f>
              <c:strCache>
                <c:ptCount val="3"/>
                <c:pt idx="0">
                  <c:v>Ներհոսք</c:v>
                </c:pt>
                <c:pt idx="1">
                  <c:v> Արտահոսք</c:v>
                </c:pt>
                <c:pt idx="2">
                  <c:v>Զուտ Ներհոսք</c:v>
                </c:pt>
              </c:strCache>
            </c:strRef>
          </c:cat>
          <c:val>
            <c:numRef>
              <c:f>Sheet1!$D$254:$D$256</c:f>
              <c:numCache>
                <c:formatCode>#,##0.00</c:formatCode>
                <c:ptCount val="3"/>
                <c:pt idx="0">
                  <c:v>1561528.6500000001</c:v>
                </c:pt>
                <c:pt idx="1">
                  <c:v>874387.53</c:v>
                </c:pt>
                <c:pt idx="2">
                  <c:v>687141.13</c:v>
                </c:pt>
              </c:numCache>
            </c:numRef>
          </c:val>
        </c:ser>
        <c:ser>
          <c:idx val="3"/>
          <c:order val="2"/>
          <c:tx>
            <c:strRef>
              <c:f>Sheet1!$E$253</c:f>
              <c:strCache>
                <c:ptCount val="1"/>
                <c:pt idx="0">
                  <c:v>2018թ. հունվար-նոյեմբեր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Sheet1!$B$254:$B$256</c:f>
              <c:strCache>
                <c:ptCount val="3"/>
                <c:pt idx="0">
                  <c:v>Ներհոսք</c:v>
                </c:pt>
                <c:pt idx="1">
                  <c:v> Արտահոսք</c:v>
                </c:pt>
                <c:pt idx="2">
                  <c:v>Զուտ Ներհոսք</c:v>
                </c:pt>
              </c:strCache>
            </c:strRef>
          </c:cat>
          <c:val>
            <c:numRef>
              <c:f>Sheet1!$E$254:$E$256</c:f>
              <c:numCache>
                <c:formatCode>#,##0.00;[Red]#,##0.00</c:formatCode>
                <c:ptCount val="3"/>
                <c:pt idx="0" formatCode="#,##0.00">
                  <c:v>1611860.1600000001</c:v>
                </c:pt>
                <c:pt idx="1">
                  <c:v>1065175.32</c:v>
                </c:pt>
                <c:pt idx="2" formatCode="#,##0.00">
                  <c:v>546684.84000000008</c:v>
                </c:pt>
              </c:numCache>
            </c:numRef>
          </c:val>
        </c:ser>
        <c:dLbls>
          <c:showVal val="1"/>
        </c:dLbls>
        <c:overlap val="-25"/>
        <c:axId val="129265024"/>
        <c:axId val="129295488"/>
      </c:barChart>
      <c:catAx>
        <c:axId val="1292650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29295488"/>
        <c:crosses val="autoZero"/>
        <c:auto val="1"/>
        <c:lblAlgn val="ctr"/>
        <c:lblOffset val="100"/>
      </c:catAx>
      <c:valAx>
        <c:axId val="129295488"/>
        <c:scaling>
          <c:orientation val="minMax"/>
        </c:scaling>
        <c:delete val="1"/>
        <c:axPos val="l"/>
        <c:numFmt formatCode="#,##0.00" sourceLinked="1"/>
        <c:tickLblPos val="nextTo"/>
        <c:crossAx val="12926502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22214711797388961"/>
          <c:w val="1"/>
          <c:h val="6.4350138050925473E-2"/>
        </c:manualLayout>
      </c:layout>
      <c:txPr>
        <a:bodyPr/>
        <a:lstStyle/>
        <a:p>
          <a:pPr>
            <a:defRPr sz="570" b="0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 sz="800"/>
              <a:t>ՀՀ բանկերի միջոցով ֆիզիկական անձանց անունով արտերկրից ստացված և ՀՀ-ից ֆիզիկական անձանց կողմից արտերկիր իրականացված փոխանցումներ (մլն ՀՀ դրամ)</a:t>
            </a:r>
          </a:p>
        </c:rich>
      </c:tx>
    </c:title>
    <c:plotArea>
      <c:layout>
        <c:manualLayout>
          <c:layoutTarget val="inner"/>
          <c:xMode val="edge"/>
          <c:yMode val="edge"/>
          <c:x val="0"/>
          <c:y val="0.40756314551590145"/>
          <c:w val="1"/>
          <c:h val="0.47356239560963981"/>
        </c:manualLayout>
      </c:layout>
      <c:barChart>
        <c:barDir val="col"/>
        <c:grouping val="clustered"/>
        <c:ser>
          <c:idx val="1"/>
          <c:order val="0"/>
          <c:tx>
            <c:strRef>
              <c:f>Sheet1!$C$274</c:f>
              <c:strCache>
                <c:ptCount val="1"/>
                <c:pt idx="0">
                  <c:v>2016թ. հունվար-նոյեմբեր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Sheet1!$B$275:$B$277</c:f>
              <c:strCache>
                <c:ptCount val="3"/>
                <c:pt idx="0">
                  <c:v>Ներհոսք</c:v>
                </c:pt>
                <c:pt idx="1">
                  <c:v> Արտահոսք</c:v>
                </c:pt>
                <c:pt idx="2">
                  <c:v>Զուտ Ներհոսք</c:v>
                </c:pt>
              </c:strCache>
            </c:strRef>
          </c:cat>
          <c:val>
            <c:numRef>
              <c:f>Sheet1!$C$275:$C$277</c:f>
              <c:numCache>
                <c:formatCode>#,##0.00</c:formatCode>
                <c:ptCount val="3"/>
                <c:pt idx="0">
                  <c:v>633425.94999999984</c:v>
                </c:pt>
                <c:pt idx="1">
                  <c:v>339864.23000000004</c:v>
                </c:pt>
                <c:pt idx="2">
                  <c:v>293561.73000000004</c:v>
                </c:pt>
              </c:numCache>
            </c:numRef>
          </c:val>
        </c:ser>
        <c:ser>
          <c:idx val="2"/>
          <c:order val="1"/>
          <c:tx>
            <c:strRef>
              <c:f>Sheet1!$D$274</c:f>
              <c:strCache>
                <c:ptCount val="1"/>
                <c:pt idx="0">
                  <c:v>2017թ. հունվար-նոյեմբեր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Sheet1!$B$275:$B$277</c:f>
              <c:strCache>
                <c:ptCount val="3"/>
                <c:pt idx="0">
                  <c:v>Ներհոսք</c:v>
                </c:pt>
                <c:pt idx="1">
                  <c:v> Արտահոսք</c:v>
                </c:pt>
                <c:pt idx="2">
                  <c:v>Զուտ Ներհոսք</c:v>
                </c:pt>
              </c:strCache>
            </c:strRef>
          </c:cat>
          <c:val>
            <c:numRef>
              <c:f>Sheet1!$D$275:$D$277</c:f>
              <c:numCache>
                <c:formatCode>#,##0.00</c:formatCode>
                <c:ptCount val="3"/>
                <c:pt idx="0">
                  <c:v>752936.84000000008</c:v>
                </c:pt>
                <c:pt idx="1">
                  <c:v>421861.2</c:v>
                </c:pt>
                <c:pt idx="2">
                  <c:v>331075.63999999996</c:v>
                </c:pt>
              </c:numCache>
            </c:numRef>
          </c:val>
        </c:ser>
        <c:ser>
          <c:idx val="3"/>
          <c:order val="2"/>
          <c:tx>
            <c:strRef>
              <c:f>Sheet1!$E$274</c:f>
              <c:strCache>
                <c:ptCount val="1"/>
                <c:pt idx="0">
                  <c:v>2018թ. հունվար-նոյեմբեր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Sheet1!$B$275:$B$277</c:f>
              <c:strCache>
                <c:ptCount val="3"/>
                <c:pt idx="0">
                  <c:v>Ներհոսք</c:v>
                </c:pt>
                <c:pt idx="1">
                  <c:v> Արտահոսք</c:v>
                </c:pt>
                <c:pt idx="2">
                  <c:v>Զուտ Ներհոսք</c:v>
                </c:pt>
              </c:strCache>
            </c:strRef>
          </c:cat>
          <c:val>
            <c:numRef>
              <c:f>Sheet1!$E$275:$E$277</c:f>
              <c:numCache>
                <c:formatCode>#,##0.00;[Red]#,##0.00</c:formatCode>
                <c:ptCount val="3"/>
                <c:pt idx="0">
                  <c:v>778561.8</c:v>
                </c:pt>
                <c:pt idx="1">
                  <c:v>514379.73000000004</c:v>
                </c:pt>
                <c:pt idx="2">
                  <c:v>264181.33</c:v>
                </c:pt>
              </c:numCache>
            </c:numRef>
          </c:val>
        </c:ser>
        <c:dLbls>
          <c:showVal val="1"/>
        </c:dLbls>
        <c:overlap val="-25"/>
        <c:axId val="129637760"/>
        <c:axId val="129692800"/>
      </c:barChart>
      <c:catAx>
        <c:axId val="12963776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 pitchFamily="50" charset="0"/>
                <a:ea typeface="Calibri"/>
                <a:cs typeface="Calibri"/>
              </a:defRPr>
            </a:pPr>
            <a:endParaRPr lang="en-US"/>
          </a:p>
        </c:txPr>
        <c:crossAx val="129692800"/>
        <c:crosses val="autoZero"/>
        <c:auto val="1"/>
        <c:lblAlgn val="ctr"/>
        <c:lblOffset val="100"/>
      </c:catAx>
      <c:valAx>
        <c:axId val="129692800"/>
        <c:scaling>
          <c:orientation val="minMax"/>
        </c:scaling>
        <c:delete val="1"/>
        <c:axPos val="l"/>
        <c:numFmt formatCode="#,##0.00" sourceLinked="1"/>
        <c:tickLblPos val="nextTo"/>
        <c:crossAx val="12963776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23575007669495857"/>
          <c:w val="0.99796393192786359"/>
          <c:h val="6.9612093942802628E-2"/>
        </c:manualLayout>
      </c:layout>
      <c:txPr>
        <a:bodyPr/>
        <a:lstStyle/>
        <a:p>
          <a:pPr>
            <a:defRPr sz="570" b="0" i="0" u="none" strike="noStrike" baseline="0">
              <a:solidFill>
                <a:srgbClr val="000000"/>
              </a:solidFill>
              <a:latin typeface="GHEA Grapalat" pitchFamily="50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/>
              <a:t>Պետական բյուջեի եկամուտները, ծախսերը և պակասուրդը/հավելուրդը, ընթացիք գներով, մլն դրամ</a:t>
            </a:r>
          </a:p>
        </c:rich>
      </c:tx>
    </c:title>
    <c:plotArea>
      <c:layout>
        <c:manualLayout>
          <c:layoutTarget val="inner"/>
          <c:xMode val="edge"/>
          <c:yMode val="edge"/>
          <c:x val="0"/>
          <c:y val="0.24286396632853327"/>
          <c:w val="1"/>
          <c:h val="0.75713603367146687"/>
        </c:manualLayout>
      </c:layout>
      <c:barChart>
        <c:barDir val="col"/>
        <c:grouping val="clustered"/>
        <c:ser>
          <c:idx val="0"/>
          <c:order val="0"/>
          <c:tx>
            <c:strRef>
              <c:f>Sheet1!$B$297</c:f>
              <c:strCache>
                <c:ptCount val="1"/>
                <c:pt idx="0">
                  <c:v>Պետական բյուջեի եկամուտներ</c:v>
                </c:pt>
              </c:strCache>
            </c:strRef>
          </c:tx>
          <c:dLbls>
            <c:dLbl>
              <c:idx val="0"/>
              <c:layout>
                <c:manualLayout>
                  <c:x val="-1.6293279022403261E-2"/>
                  <c:y val="1.2012012012012014E-2"/>
                </c:manualLayout>
              </c:layout>
              <c:showVal val="1"/>
            </c:dLbl>
            <c:dLbl>
              <c:idx val="1"/>
              <c:layout>
                <c:manualLayout>
                  <c:x val="-1.6293279022403309E-2"/>
                  <c:y val="8.0080080080080461E-3"/>
                </c:manualLayout>
              </c:layout>
              <c:showVal val="1"/>
            </c:dLbl>
            <c:dLbl>
              <c:idx val="2"/>
              <c:layout>
                <c:manualLayout>
                  <c:x val="-2.1724372029871014E-2"/>
                  <c:y val="1.2012012012012014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Sheet1!$C$296:$E$296</c:f>
              <c:strCache>
                <c:ptCount val="3"/>
                <c:pt idx="0">
                  <c:v>2016թ. հունվար-նոյեմբեր</c:v>
                </c:pt>
                <c:pt idx="1">
                  <c:v>2017թ. հունվար-նոյեմբեր</c:v>
                </c:pt>
                <c:pt idx="2">
                  <c:v>2018թ. հունվար-նոյեմբեր</c:v>
                </c:pt>
              </c:strCache>
            </c:strRef>
          </c:cat>
          <c:val>
            <c:numRef>
              <c:f>Sheet1!$C$297:$E$297</c:f>
              <c:numCache>
                <c:formatCode>#,##0.0;[Red]#,##0.0</c:formatCode>
                <c:ptCount val="3"/>
                <c:pt idx="0">
                  <c:v>1046071.2</c:v>
                </c:pt>
                <c:pt idx="1">
                  <c:v>1108402.2</c:v>
                </c:pt>
                <c:pt idx="2">
                  <c:v>1177254.5</c:v>
                </c:pt>
              </c:numCache>
            </c:numRef>
          </c:val>
        </c:ser>
        <c:ser>
          <c:idx val="1"/>
          <c:order val="1"/>
          <c:tx>
            <c:strRef>
              <c:f>Sheet1!$B$298</c:f>
              <c:strCache>
                <c:ptCount val="1"/>
                <c:pt idx="0">
                  <c:v>Պետական բյուջեի ծախսեր</c:v>
                </c:pt>
              </c:strCache>
            </c:strRef>
          </c:tx>
          <c:dLbls>
            <c:dLbl>
              <c:idx val="2"/>
              <c:layout>
                <c:manualLayout>
                  <c:x val="1.9008825526137141E-2"/>
                  <c:y val="-1.6016016016016019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Sheet1!$C$296:$E$296</c:f>
              <c:strCache>
                <c:ptCount val="3"/>
                <c:pt idx="0">
                  <c:v>2016թ. հունվար-նոյեմբեր</c:v>
                </c:pt>
                <c:pt idx="1">
                  <c:v>2017թ. հունվար-նոյեմբեր</c:v>
                </c:pt>
                <c:pt idx="2">
                  <c:v>2018թ. հունվար-նոյեմբեր</c:v>
                </c:pt>
              </c:strCache>
            </c:strRef>
          </c:cat>
          <c:val>
            <c:numRef>
              <c:f>Sheet1!$C$298:$E$298</c:f>
              <c:numCache>
                <c:formatCode>#,##0.0;[Red]#,##0.0</c:formatCode>
                <c:ptCount val="3"/>
                <c:pt idx="0">
                  <c:v>1252034.8</c:v>
                </c:pt>
                <c:pt idx="1">
                  <c:v>1249629.7</c:v>
                </c:pt>
                <c:pt idx="2">
                  <c:v>1228734.7</c:v>
                </c:pt>
              </c:numCache>
            </c:numRef>
          </c:val>
        </c:ser>
        <c:ser>
          <c:idx val="2"/>
          <c:order val="2"/>
          <c:tx>
            <c:strRef>
              <c:f>Sheet1!$B$299</c:f>
              <c:strCache>
                <c:ptCount val="1"/>
                <c:pt idx="0">
                  <c:v>Պակասուրդ (-)/հավելուրդ (+)</c:v>
                </c:pt>
              </c:strCache>
            </c:strRef>
          </c:tx>
          <c:dLbls>
            <c:dLbl>
              <c:idx val="0"/>
              <c:layout>
                <c:manualLayout>
                  <c:x val="1.9071047890907734E-2"/>
                  <c:y val="0.1659161523728453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8.3333333333333367E-3"/>
                  <c:y val="0.1388888888888889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1297528745770325E-2"/>
                  <c:y val="9.884908530577822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1111111111111122E-2"/>
                  <c:y val="0.125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Sheet1!$C$296:$E$296</c:f>
              <c:strCache>
                <c:ptCount val="3"/>
                <c:pt idx="0">
                  <c:v>2016թ. հունվար-նոյեմբեր</c:v>
                </c:pt>
                <c:pt idx="1">
                  <c:v>2017թ. հունվար-նոյեմբեր</c:v>
                </c:pt>
                <c:pt idx="2">
                  <c:v>2018թ. հունվար-նոյեմբեր</c:v>
                </c:pt>
              </c:strCache>
            </c:strRef>
          </c:cat>
          <c:val>
            <c:numRef>
              <c:f>Sheet1!$C$299:$E$299</c:f>
              <c:numCache>
                <c:formatCode>#,##0.0_);\(#,##0.0\)</c:formatCode>
                <c:ptCount val="3"/>
                <c:pt idx="0">
                  <c:v>-205963.6</c:v>
                </c:pt>
                <c:pt idx="1">
                  <c:v>-141227.5</c:v>
                </c:pt>
                <c:pt idx="2">
                  <c:v>-51480.2</c:v>
                </c:pt>
              </c:numCache>
            </c:numRef>
          </c:val>
        </c:ser>
        <c:dLbls>
          <c:showVal val="1"/>
        </c:dLbls>
        <c:overlap val="-25"/>
        <c:axId val="129707392"/>
        <c:axId val="129737856"/>
      </c:barChart>
      <c:catAx>
        <c:axId val="129707392"/>
        <c:scaling>
          <c:orientation val="minMax"/>
        </c:scaling>
        <c:axPos val="b"/>
        <c:numFmt formatCode="0.00" sourceLinked="1"/>
        <c:maj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 pitchFamily="50" charset="0"/>
                <a:ea typeface="Calibri"/>
                <a:cs typeface="Calibri"/>
              </a:defRPr>
            </a:pPr>
            <a:endParaRPr lang="en-US"/>
          </a:p>
        </c:txPr>
        <c:crossAx val="129737856"/>
        <c:crosses val="autoZero"/>
        <c:auto val="1"/>
        <c:lblAlgn val="ctr"/>
        <c:lblOffset val="100"/>
      </c:catAx>
      <c:valAx>
        <c:axId val="129737856"/>
        <c:scaling>
          <c:orientation val="minMax"/>
        </c:scaling>
        <c:delete val="1"/>
        <c:axPos val="l"/>
        <c:numFmt formatCode="#,##0.0;[Red]#,##0.0" sourceLinked="1"/>
        <c:tickLblPos val="nextTo"/>
        <c:crossAx val="1297073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5575575575575576"/>
          <c:w val="0.99913936419861971"/>
          <c:h val="7.1092194556761509E-2"/>
        </c:manualLayout>
      </c:layout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/>
              <a:t>Պետական բյուջեի պակասուրդի/հավելուրդի ֆինասավորման ներքին և արտաքին աղբյուրները, ընթացիք գներով, մլն դրամ</a:t>
            </a:r>
          </a:p>
        </c:rich>
      </c:tx>
    </c:title>
    <c:plotArea>
      <c:layout>
        <c:manualLayout>
          <c:layoutTarget val="inner"/>
          <c:xMode val="edge"/>
          <c:yMode val="edge"/>
          <c:x val="1.1111111111111122E-2"/>
          <c:y val="0.22174520977670586"/>
          <c:w val="0.98888881443011123"/>
          <c:h val="0.77825479022329425"/>
        </c:manualLayout>
      </c:layout>
      <c:barChart>
        <c:barDir val="col"/>
        <c:grouping val="stacked"/>
        <c:ser>
          <c:idx val="0"/>
          <c:order val="0"/>
          <c:tx>
            <c:strRef>
              <c:f>Sheet1!$B$319</c:f>
              <c:strCache>
                <c:ptCount val="1"/>
                <c:pt idx="0">
                  <c:v>    ֆինանսավորման ներքին աղբյուրներ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Sheet1!$C$318:$E$318</c:f>
              <c:strCache>
                <c:ptCount val="3"/>
                <c:pt idx="0">
                  <c:v>2016թ. հունվար-նոյեմբեր</c:v>
                </c:pt>
                <c:pt idx="1">
                  <c:v>2017թ. հունվար-նոյեմբեր</c:v>
                </c:pt>
                <c:pt idx="2">
                  <c:v>2018թ. հունվար-նոյեմբեր</c:v>
                </c:pt>
              </c:strCache>
            </c:strRef>
          </c:cat>
          <c:val>
            <c:numRef>
              <c:f>Sheet1!$C$319:$E$319</c:f>
              <c:numCache>
                <c:formatCode>#,##0.0;[Red]#,##0.0</c:formatCode>
                <c:ptCount val="3"/>
                <c:pt idx="0">
                  <c:v>185325.5</c:v>
                </c:pt>
                <c:pt idx="1">
                  <c:v>135000.5</c:v>
                </c:pt>
                <c:pt idx="2" formatCode="#,##0.0_);\(#,##0.0\)">
                  <c:v>83667.3</c:v>
                </c:pt>
              </c:numCache>
            </c:numRef>
          </c:val>
        </c:ser>
        <c:ser>
          <c:idx val="1"/>
          <c:order val="1"/>
          <c:tx>
            <c:strRef>
              <c:f>Sheet1!$B$320</c:f>
              <c:strCache>
                <c:ptCount val="1"/>
                <c:pt idx="0">
                  <c:v>    ֆինանսավորման արտաքին աղբյուրներ</c:v>
                </c:pt>
              </c:strCache>
            </c:strRef>
          </c:tx>
          <c:dLbls>
            <c:dLbl>
              <c:idx val="0"/>
              <c:layout>
                <c:manualLayout>
                  <c:x val="-2.6595186240017869E-3"/>
                  <c:y val="4.3794976078440672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0"/>
                  <c:y val="-2.802802802802803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2.4024024024024027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Sheet1!$C$318:$E$318</c:f>
              <c:strCache>
                <c:ptCount val="3"/>
                <c:pt idx="0">
                  <c:v>2016թ. հունվար-նոյեմբեր</c:v>
                </c:pt>
                <c:pt idx="1">
                  <c:v>2017թ. հունվար-նոյեմբեր</c:v>
                </c:pt>
                <c:pt idx="2">
                  <c:v>2018թ. հունվար-նոյեմբեր</c:v>
                </c:pt>
              </c:strCache>
            </c:strRef>
          </c:cat>
          <c:val>
            <c:numRef>
              <c:f>Sheet1!$C$320:$E$320</c:f>
              <c:numCache>
                <c:formatCode>#,##0.0_);\(#,##0.0\)</c:formatCode>
                <c:ptCount val="3"/>
                <c:pt idx="0">
                  <c:v>20638.099999999995</c:v>
                </c:pt>
                <c:pt idx="1">
                  <c:v>6227</c:v>
                </c:pt>
                <c:pt idx="2">
                  <c:v>-32187.1</c:v>
                </c:pt>
              </c:numCache>
            </c:numRef>
          </c:val>
        </c:ser>
        <c:dLbls>
          <c:showVal val="1"/>
        </c:dLbls>
        <c:gapWidth val="95"/>
        <c:overlap val="100"/>
        <c:axId val="129865984"/>
        <c:axId val="132026368"/>
      </c:barChart>
      <c:catAx>
        <c:axId val="129865984"/>
        <c:scaling>
          <c:orientation val="minMax"/>
        </c:scaling>
        <c:axPos val="b"/>
        <c:numFmt formatCode="0.00" sourceLinked="1"/>
        <c:maj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32026368"/>
        <c:crosses val="autoZero"/>
        <c:auto val="1"/>
        <c:lblAlgn val="ctr"/>
        <c:lblOffset val="100"/>
      </c:catAx>
      <c:valAx>
        <c:axId val="132026368"/>
        <c:scaling>
          <c:orientation val="minMax"/>
        </c:scaling>
        <c:delete val="1"/>
        <c:axPos val="l"/>
        <c:numFmt formatCode="#,##0.0;[Red]#,##0.0" sourceLinked="1"/>
        <c:tickLblPos val="nextTo"/>
        <c:crossAx val="1298659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3379637246836695"/>
          <c:w val="0.99488729939291898"/>
          <c:h val="8.8417866685583241E-2"/>
        </c:manualLayout>
      </c:layout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/>
              <a:t>Արդյունաբերական արտադրանքի, գյուղատնտեսության համախառն արտադրանքի և իրականացված շինարարության ծավալները (ընթացիկ գներով, մլն դրամ)</a:t>
            </a:r>
          </a:p>
        </c:rich>
      </c:tx>
    </c:title>
    <c:plotArea>
      <c:layout>
        <c:manualLayout>
          <c:layoutTarget val="inner"/>
          <c:xMode val="edge"/>
          <c:yMode val="edge"/>
          <c:x val="0"/>
          <c:y val="0.41924896887889024"/>
          <c:w val="1"/>
          <c:h val="0.40786239220097492"/>
        </c:manualLayout>
      </c:layout>
      <c:barChart>
        <c:barDir val="col"/>
        <c:grouping val="clustered"/>
        <c:ser>
          <c:idx val="1"/>
          <c:order val="0"/>
          <c:tx>
            <c:strRef>
              <c:f>Sheet1!$C$41</c:f>
              <c:strCache>
                <c:ptCount val="1"/>
                <c:pt idx="0">
                  <c:v>2016թ. հունվար-նոյեմբեր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9047619047619053E-2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Sheet1!$B$42:$B$44</c:f>
              <c:strCache>
                <c:ptCount val="3"/>
                <c:pt idx="0">
                  <c:v>Արդյունաբերական արտադրանք</c:v>
                </c:pt>
                <c:pt idx="1">
                  <c:v>Գյուղատնտեսության համախառն արտադրանք</c:v>
                </c:pt>
                <c:pt idx="2">
                  <c:v>Իրականացված շինարարության ծավալը</c:v>
                </c:pt>
              </c:strCache>
            </c:strRef>
          </c:cat>
          <c:val>
            <c:numRef>
              <c:f>Sheet1!$C$42:$C$44</c:f>
              <c:numCache>
                <c:formatCode>#,##0.0;[Red]#,##0.0</c:formatCode>
                <c:ptCount val="3"/>
                <c:pt idx="0">
                  <c:v>1285643.7</c:v>
                </c:pt>
                <c:pt idx="1">
                  <c:v>836144.1</c:v>
                </c:pt>
                <c:pt idx="2">
                  <c:v>320166.8</c:v>
                </c:pt>
              </c:numCache>
            </c:numRef>
          </c:val>
        </c:ser>
        <c:ser>
          <c:idx val="2"/>
          <c:order val="1"/>
          <c:tx>
            <c:strRef>
              <c:f>Sheet1!$D$41</c:f>
              <c:strCache>
                <c:ptCount val="1"/>
                <c:pt idx="0">
                  <c:v>2017թ. հունվար-նոյեմբեր</c:v>
                </c:pt>
              </c:strCache>
            </c:strRef>
          </c:tx>
          <c:dLbls>
            <c:dLbl>
              <c:idx val="0"/>
              <c:layout>
                <c:manualLayout>
                  <c:x val="-2.8248587570621478E-3"/>
                  <c:y val="1.9047619047619053E-2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Sheet1!$B$42:$B$44</c:f>
              <c:strCache>
                <c:ptCount val="3"/>
                <c:pt idx="0">
                  <c:v>Արդյունաբերական արտադրանք</c:v>
                </c:pt>
                <c:pt idx="1">
                  <c:v>Գյուղատնտեսության համախառն արտադրանք</c:v>
                </c:pt>
                <c:pt idx="2">
                  <c:v>Իրականացված շինարարության ծավալը</c:v>
                </c:pt>
              </c:strCache>
            </c:strRef>
          </c:cat>
          <c:val>
            <c:numRef>
              <c:f>Sheet1!$D$42:$D$44</c:f>
              <c:numCache>
                <c:formatCode>#,##0.0;[Red]#,##0.0</c:formatCode>
                <c:ptCount val="3"/>
                <c:pt idx="0">
                  <c:v>1491375.5</c:v>
                </c:pt>
                <c:pt idx="1">
                  <c:v>811713.8</c:v>
                </c:pt>
                <c:pt idx="2">
                  <c:v>324558.09999999998</c:v>
                </c:pt>
              </c:numCache>
            </c:numRef>
          </c:val>
        </c:ser>
        <c:ser>
          <c:idx val="3"/>
          <c:order val="2"/>
          <c:tx>
            <c:strRef>
              <c:f>Sheet1!$E$41</c:f>
              <c:strCache>
                <c:ptCount val="1"/>
                <c:pt idx="0">
                  <c:v>2018թ. հունվար-նոյեմբեր</c:v>
                </c:pt>
              </c:strCache>
            </c:strRef>
          </c:tx>
          <c:dLbls>
            <c:dLbl>
              <c:idx val="0"/>
              <c:layout>
                <c:manualLayout>
                  <c:x val="-2.2242982339072034E-7"/>
                  <c:y val="9.5238095238095247E-3"/>
                </c:manualLayout>
              </c:layout>
              <c:showVal val="1"/>
            </c:dLbl>
            <c:dLbl>
              <c:idx val="2"/>
              <c:spPr/>
              <c:txPr>
                <a:bodyPr rot="-5400000" vert="horz"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GHEA Grapalat" pitchFamily="50" charset="0"/>
                      <a:ea typeface="GHEA Grapalat"/>
                      <a:cs typeface="GHEA Grapalat"/>
                    </a:defRPr>
                  </a:pPr>
                  <a:endParaRPr lang="en-US"/>
                </a:p>
              </c:txPr>
            </c:dLbl>
            <c:txPr>
              <a:bodyPr rot="-5400000" vert="horz"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Sheet1!$B$42:$B$44</c:f>
              <c:strCache>
                <c:ptCount val="3"/>
                <c:pt idx="0">
                  <c:v>Արդյունաբերական արտադրանք</c:v>
                </c:pt>
                <c:pt idx="1">
                  <c:v>Գյուղատնտեսության համախառն արտադրանք</c:v>
                </c:pt>
                <c:pt idx="2">
                  <c:v>Իրականացված շինարարության ծավալը</c:v>
                </c:pt>
              </c:strCache>
            </c:strRef>
          </c:cat>
          <c:val>
            <c:numRef>
              <c:f>Sheet1!$E$42:$E$44</c:f>
              <c:numCache>
                <c:formatCode>#,##0.0;[Red]#,##0.0</c:formatCode>
                <c:ptCount val="3"/>
                <c:pt idx="0">
                  <c:v>1563398.5</c:v>
                </c:pt>
                <c:pt idx="1">
                  <c:v>795319.5</c:v>
                </c:pt>
                <c:pt idx="2">
                  <c:v>335746</c:v>
                </c:pt>
              </c:numCache>
            </c:numRef>
          </c:val>
        </c:ser>
        <c:dLbls>
          <c:showVal val="1"/>
        </c:dLbls>
        <c:overlap val="-25"/>
        <c:axId val="132044672"/>
        <c:axId val="132120960"/>
      </c:barChart>
      <c:catAx>
        <c:axId val="13204467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32120960"/>
        <c:crosses val="autoZero"/>
        <c:auto val="1"/>
        <c:lblAlgn val="ctr"/>
        <c:lblOffset val="100"/>
      </c:catAx>
      <c:valAx>
        <c:axId val="132120960"/>
        <c:scaling>
          <c:orientation val="minMax"/>
        </c:scaling>
        <c:delete val="1"/>
        <c:axPos val="l"/>
        <c:numFmt formatCode="#,##0.0;[Red]#,##0.0" sourceLinked="1"/>
        <c:tickLblPos val="nextTo"/>
        <c:crossAx val="13204467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21357142857142863"/>
          <c:w val="0.99776991859068465"/>
          <c:h val="6.2820397450318741E-2"/>
        </c:manualLayout>
      </c:layout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GHEA Grapalat" pitchFamily="50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 sz="1000"/>
              <a:t>Առևտրի շրջանառություն և այլ ծառայություններ (ընթացիկ գներով, մլն դրամ)</a:t>
            </a:r>
          </a:p>
        </c:rich>
      </c:tx>
    </c:title>
    <c:plotArea>
      <c:layout>
        <c:manualLayout>
          <c:layoutTarget val="inner"/>
          <c:xMode val="edge"/>
          <c:yMode val="edge"/>
          <c:x val="0"/>
          <c:y val="0.26514770760037976"/>
          <c:w val="0.99190283400809731"/>
          <c:h val="0.59083337987006923"/>
        </c:manualLayout>
      </c:layout>
      <c:barChart>
        <c:barDir val="col"/>
        <c:grouping val="clustered"/>
        <c:ser>
          <c:idx val="1"/>
          <c:order val="0"/>
          <c:tx>
            <c:strRef>
              <c:f>Sheet1!$C$63</c:f>
              <c:strCache>
                <c:ptCount val="1"/>
                <c:pt idx="0">
                  <c:v>2016թ. հունվար-նոյեմբեր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Sheet1!$B$64:$B$65</c:f>
              <c:strCache>
                <c:ptCount val="2"/>
                <c:pt idx="0">
                  <c:v>Առևտրի շրջանառություն</c:v>
                </c:pt>
                <c:pt idx="1">
                  <c:v>Այլ ծառայություններ</c:v>
                </c:pt>
              </c:strCache>
            </c:strRef>
          </c:cat>
          <c:val>
            <c:numRef>
              <c:f>Sheet1!$C$64:$C$65</c:f>
              <c:numCache>
                <c:formatCode>#,##0.0;[Red]#,##0.0</c:formatCode>
                <c:ptCount val="2"/>
                <c:pt idx="0">
                  <c:v>1944151.8</c:v>
                </c:pt>
                <c:pt idx="1">
                  <c:v>1143459.7</c:v>
                </c:pt>
              </c:numCache>
            </c:numRef>
          </c:val>
        </c:ser>
        <c:ser>
          <c:idx val="2"/>
          <c:order val="1"/>
          <c:tx>
            <c:strRef>
              <c:f>Sheet1!$D$63</c:f>
              <c:strCache>
                <c:ptCount val="1"/>
                <c:pt idx="0">
                  <c:v>2017թ. հունվար-նոյեմբեր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Sheet1!$B$64:$B$65</c:f>
              <c:strCache>
                <c:ptCount val="2"/>
                <c:pt idx="0">
                  <c:v>Առևտրի շրջանառություն</c:v>
                </c:pt>
                <c:pt idx="1">
                  <c:v>Այլ ծառայություններ</c:v>
                </c:pt>
              </c:strCache>
            </c:strRef>
          </c:cat>
          <c:val>
            <c:numRef>
              <c:f>Sheet1!$D$64:$D$65</c:f>
              <c:numCache>
                <c:formatCode>#,##0.0;[Red]#,##0.0</c:formatCode>
                <c:ptCount val="2"/>
                <c:pt idx="0">
                  <c:v>2272476.9</c:v>
                </c:pt>
                <c:pt idx="1">
                  <c:v>1311188.4000000004</c:v>
                </c:pt>
              </c:numCache>
            </c:numRef>
          </c:val>
        </c:ser>
        <c:ser>
          <c:idx val="3"/>
          <c:order val="2"/>
          <c:tx>
            <c:strRef>
              <c:f>Sheet1!$E$63</c:f>
              <c:strCache>
                <c:ptCount val="1"/>
                <c:pt idx="0">
                  <c:v>2018թ. հունվար-նոյեմբեր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Sheet1!$B$64:$B$65</c:f>
              <c:strCache>
                <c:ptCount val="2"/>
                <c:pt idx="0">
                  <c:v>Առևտրի շրջանառություն</c:v>
                </c:pt>
                <c:pt idx="1">
                  <c:v>Այլ ծառայություններ</c:v>
                </c:pt>
              </c:strCache>
            </c:strRef>
          </c:cat>
          <c:val>
            <c:numRef>
              <c:f>Sheet1!$E$64:$E$65</c:f>
              <c:numCache>
                <c:formatCode>#,##0.0;[Red]#,##0.0</c:formatCode>
                <c:ptCount val="2"/>
                <c:pt idx="0">
                  <c:v>2570593.7999999998</c:v>
                </c:pt>
                <c:pt idx="1">
                  <c:v>1583272.4</c:v>
                </c:pt>
              </c:numCache>
            </c:numRef>
          </c:val>
        </c:ser>
        <c:dLbls>
          <c:showVal val="1"/>
        </c:dLbls>
        <c:overlap val="-25"/>
        <c:axId val="132418944"/>
        <c:axId val="134468736"/>
      </c:barChart>
      <c:catAx>
        <c:axId val="1324189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34468736"/>
        <c:crosses val="autoZero"/>
        <c:auto val="1"/>
        <c:lblAlgn val="ctr"/>
        <c:lblOffset val="100"/>
      </c:catAx>
      <c:valAx>
        <c:axId val="134468736"/>
        <c:scaling>
          <c:orientation val="minMax"/>
        </c:scaling>
        <c:delete val="1"/>
        <c:axPos val="l"/>
        <c:numFmt formatCode="#,##0.0;[Red]#,##0.0" sourceLinked="1"/>
        <c:tickLblPos val="nextTo"/>
        <c:crossAx val="13241894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4.9999893737979105E-2"/>
          <c:y val="0.17286052009456265"/>
          <c:w val="0.9"/>
          <c:h val="7.3374657954989694E-2"/>
        </c:manualLayout>
      </c:layout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/>
              <a:t>Իրական աճը  նախորդ տարվա նույն  ժամանակահատվածի նկատմաբ /%/</a:t>
            </a:r>
          </a:p>
        </c:rich>
      </c:tx>
    </c:title>
    <c:plotArea>
      <c:layout/>
      <c:barChart>
        <c:barDir val="col"/>
        <c:grouping val="clustered"/>
        <c:ser>
          <c:idx val="1"/>
          <c:order val="0"/>
          <c:tx>
            <c:strRef>
              <c:f>Sheet1!$C$86</c:f>
              <c:strCache>
                <c:ptCount val="1"/>
                <c:pt idx="0">
                  <c:v>2016թ. հունվար-նոյեմբեր</c:v>
                </c:pt>
              </c:strCache>
            </c:strRef>
          </c:tx>
          <c:dLbls>
            <c:dLbl>
              <c:idx val="0"/>
              <c:layout>
                <c:manualLayout>
                  <c:x val="-2.7777777777777796E-3"/>
                  <c:y val="2.3640661938534275E-2"/>
                </c:manualLayout>
              </c:layout>
              <c:showVal val="1"/>
            </c:dLbl>
            <c:dLbl>
              <c:idx val="1"/>
              <c:layout>
                <c:manualLayout>
                  <c:x val="-8.333333333333335E-3"/>
                  <c:y val="2.3640661938534275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418439716312056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Sheet1!$B$87:$B$89</c:f>
              <c:strCache>
                <c:ptCount val="3"/>
                <c:pt idx="0">
                  <c:v>     Արդյունաբերական արտադրանքի ծավալը</c:v>
                </c:pt>
                <c:pt idx="1">
                  <c:v>   Գյուղատնտեսության համախառն արտադրանքը</c:v>
                </c:pt>
                <c:pt idx="2">
                  <c:v>    Իրականացված շինարարության ծավալը</c:v>
                </c:pt>
              </c:strCache>
            </c:strRef>
          </c:cat>
          <c:val>
            <c:numRef>
              <c:f>Sheet1!$C$87:$C$89</c:f>
              <c:numCache>
                <c:formatCode>General</c:formatCode>
                <c:ptCount val="3"/>
                <c:pt idx="0" formatCode="0.0">
                  <c:v>106.8</c:v>
                </c:pt>
                <c:pt idx="1">
                  <c:v>93.9</c:v>
                </c:pt>
                <c:pt idx="2">
                  <c:v>89.1</c:v>
                </c:pt>
              </c:numCache>
            </c:numRef>
          </c:val>
        </c:ser>
        <c:ser>
          <c:idx val="2"/>
          <c:order val="1"/>
          <c:tx>
            <c:strRef>
              <c:f>Sheet1!$D$86</c:f>
              <c:strCache>
                <c:ptCount val="1"/>
                <c:pt idx="0">
                  <c:v>2017թ. հունվար-նոյեմբեր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1.4184397163120524E-2"/>
                </c:manualLayout>
              </c:layout>
              <c:showVal val="1"/>
            </c:dLbl>
            <c:dLbl>
              <c:idx val="2"/>
              <c:layout>
                <c:manualLayout>
                  <c:x val="2.7777777777777796E-3"/>
                  <c:y val="1.8912529550827426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Sheet1!$B$87:$B$89</c:f>
              <c:strCache>
                <c:ptCount val="3"/>
                <c:pt idx="0">
                  <c:v>     Արդյունաբերական արտադրանքի ծավալը</c:v>
                </c:pt>
                <c:pt idx="1">
                  <c:v>   Գյուղատնտեսության համախառն արտադրանքը</c:v>
                </c:pt>
                <c:pt idx="2">
                  <c:v>    Իրականացված շինարարության ծավալը</c:v>
                </c:pt>
              </c:strCache>
            </c:strRef>
          </c:cat>
          <c:val>
            <c:numRef>
              <c:f>Sheet1!$D$87:$D$89</c:f>
              <c:numCache>
                <c:formatCode>0.0</c:formatCode>
                <c:ptCount val="3"/>
                <c:pt idx="0">
                  <c:v>112.3</c:v>
                </c:pt>
                <c:pt idx="1">
                  <c:v>96.1</c:v>
                </c:pt>
                <c:pt idx="2">
                  <c:v>100.3</c:v>
                </c:pt>
              </c:numCache>
            </c:numRef>
          </c:val>
        </c:ser>
        <c:ser>
          <c:idx val="3"/>
          <c:order val="2"/>
          <c:tx>
            <c:strRef>
              <c:f>Sheet1!$E$86</c:f>
              <c:strCache>
                <c:ptCount val="1"/>
                <c:pt idx="0">
                  <c:v>2018թ. հունվար-նոյեմբեր</c:v>
                </c:pt>
              </c:strCache>
            </c:strRef>
          </c:tx>
          <c:dLbls>
            <c:dLbl>
              <c:idx val="0"/>
              <c:layout>
                <c:manualLayout>
                  <c:x val="8.333333333333335E-3"/>
                  <c:y val="1.8912529550827426E-2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1.4184397163120524E-2"/>
                </c:manualLayout>
              </c:layout>
              <c:showVal val="1"/>
            </c:dLbl>
            <c:dLbl>
              <c:idx val="2"/>
              <c:layout>
                <c:manualLayout>
                  <c:x val="1.1111111111111115E-2"/>
                  <c:y val="9.4562647754137148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Sheet1!$B$87:$B$89</c:f>
              <c:strCache>
                <c:ptCount val="3"/>
                <c:pt idx="0">
                  <c:v>     Արդյունաբերական արտադրանքի ծավալը</c:v>
                </c:pt>
                <c:pt idx="1">
                  <c:v>   Գյուղատնտեսության համախառն արտադրանքը</c:v>
                </c:pt>
                <c:pt idx="2">
                  <c:v>    Իրականացված շինարարության ծավալը</c:v>
                </c:pt>
              </c:strCache>
            </c:strRef>
          </c:cat>
          <c:val>
            <c:numRef>
              <c:f>Sheet1!$E$87:$E$89</c:f>
              <c:numCache>
                <c:formatCode>0.0</c:formatCode>
                <c:ptCount val="3"/>
                <c:pt idx="0">
                  <c:v>104.1</c:v>
                </c:pt>
                <c:pt idx="1">
                  <c:v>91.9</c:v>
                </c:pt>
                <c:pt idx="2">
                  <c:v>105.5</c:v>
                </c:pt>
              </c:numCache>
            </c:numRef>
          </c:val>
        </c:ser>
        <c:dLbls>
          <c:showVal val="1"/>
        </c:dLbls>
        <c:overlap val="-25"/>
        <c:axId val="134968832"/>
        <c:axId val="134984832"/>
      </c:barChart>
      <c:catAx>
        <c:axId val="13496883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GHEA Grapalat" pitchFamily="50" charset="0"/>
                <a:ea typeface="Calibri"/>
                <a:cs typeface="Calibri"/>
              </a:defRPr>
            </a:pPr>
            <a:endParaRPr lang="en-US"/>
          </a:p>
        </c:txPr>
        <c:crossAx val="134984832"/>
        <c:crosses val="autoZero"/>
        <c:auto val="1"/>
        <c:lblAlgn val="ctr"/>
        <c:lblOffset val="100"/>
      </c:catAx>
      <c:valAx>
        <c:axId val="134984832"/>
        <c:scaling>
          <c:orientation val="minMax"/>
        </c:scaling>
        <c:delete val="1"/>
        <c:axPos val="l"/>
        <c:numFmt formatCode="0.0" sourceLinked="1"/>
        <c:tickLblPos val="nextTo"/>
        <c:crossAx val="1349688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05"/>
          <c:y val="0.16501182033096926"/>
          <c:w val="0.9"/>
          <c:h val="6.9161408015487424E-2"/>
        </c:manualLayout>
      </c:layout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GHEA Grapalat" pitchFamily="50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 sz="1000"/>
              <a:t>Իրական աճը  նախորդ տարվա նույն ժամանակաշրջանի նկատմամբ /%/</a:t>
            </a:r>
          </a:p>
        </c:rich>
      </c:tx>
    </c:title>
    <c:plotArea>
      <c:layout>
        <c:manualLayout>
          <c:layoutTarget val="inner"/>
          <c:xMode val="edge"/>
          <c:yMode val="edge"/>
          <c:x val="0"/>
          <c:y val="0.29426513379118341"/>
          <c:w val="1"/>
          <c:h val="0.59727906216195803"/>
        </c:manualLayout>
      </c:layout>
      <c:barChart>
        <c:barDir val="col"/>
        <c:grouping val="clustered"/>
        <c:ser>
          <c:idx val="1"/>
          <c:order val="0"/>
          <c:tx>
            <c:strRef>
              <c:f>Sheet1!$C$110</c:f>
              <c:strCache>
                <c:ptCount val="1"/>
                <c:pt idx="0">
                  <c:v>2016թ. հունվար-նոյեմբեր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Sheet1!$B$111:$B$112</c:f>
              <c:strCache>
                <c:ptCount val="2"/>
                <c:pt idx="0">
                  <c:v>  Առևտրի շրջանառությունը</c:v>
                </c:pt>
                <c:pt idx="1">
                  <c:v>     Այլ ծառայություններ</c:v>
                </c:pt>
              </c:strCache>
            </c:strRef>
          </c:cat>
          <c:val>
            <c:numRef>
              <c:f>Sheet1!$C$111:$C$112</c:f>
              <c:numCache>
                <c:formatCode>0.0</c:formatCode>
                <c:ptCount val="2"/>
                <c:pt idx="0" formatCode="General">
                  <c:v>100.3</c:v>
                </c:pt>
                <c:pt idx="1">
                  <c:v>108</c:v>
                </c:pt>
              </c:numCache>
            </c:numRef>
          </c:val>
        </c:ser>
        <c:ser>
          <c:idx val="2"/>
          <c:order val="1"/>
          <c:tx>
            <c:strRef>
              <c:f>Sheet1!$D$110</c:f>
              <c:strCache>
                <c:ptCount val="1"/>
                <c:pt idx="0">
                  <c:v>2017թ. հունվար-նոյեմբեր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Sheet1!$B$111:$B$112</c:f>
              <c:strCache>
                <c:ptCount val="2"/>
                <c:pt idx="0">
                  <c:v>  Առևտրի շրջանառությունը</c:v>
                </c:pt>
                <c:pt idx="1">
                  <c:v>     Այլ ծառայություններ</c:v>
                </c:pt>
              </c:strCache>
            </c:strRef>
          </c:cat>
          <c:val>
            <c:numRef>
              <c:f>Sheet1!$D$111:$D$112</c:f>
              <c:numCache>
                <c:formatCode>0.0</c:formatCode>
                <c:ptCount val="2"/>
                <c:pt idx="0" formatCode="General">
                  <c:v>114.4</c:v>
                </c:pt>
                <c:pt idx="1">
                  <c:v>114.2</c:v>
                </c:pt>
              </c:numCache>
            </c:numRef>
          </c:val>
        </c:ser>
        <c:ser>
          <c:idx val="3"/>
          <c:order val="2"/>
          <c:tx>
            <c:strRef>
              <c:f>Sheet1!$E$110</c:f>
              <c:strCache>
                <c:ptCount val="1"/>
                <c:pt idx="0">
                  <c:v>2018թ. հունվար-նոյեմբեր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Sheet1!$B$111:$B$112</c:f>
              <c:strCache>
                <c:ptCount val="2"/>
                <c:pt idx="0">
                  <c:v>  Առևտրի շրջանառությունը</c:v>
                </c:pt>
                <c:pt idx="1">
                  <c:v>     Այլ ծառայություններ</c:v>
                </c:pt>
              </c:strCache>
            </c:strRef>
          </c:cat>
          <c:val>
            <c:numRef>
              <c:f>Sheet1!$E$111:$E$112</c:f>
              <c:numCache>
                <c:formatCode>General</c:formatCode>
                <c:ptCount val="2"/>
                <c:pt idx="0">
                  <c:v>109.2</c:v>
                </c:pt>
                <c:pt idx="1">
                  <c:v>118.4</c:v>
                </c:pt>
              </c:numCache>
            </c:numRef>
          </c:val>
        </c:ser>
        <c:dLbls>
          <c:showVal val="1"/>
        </c:dLbls>
        <c:overlap val="-25"/>
        <c:axId val="135456256"/>
        <c:axId val="135458176"/>
      </c:barChart>
      <c:catAx>
        <c:axId val="1354562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35458176"/>
        <c:crosses val="autoZero"/>
        <c:auto val="1"/>
        <c:lblAlgn val="ctr"/>
        <c:lblOffset val="100"/>
      </c:catAx>
      <c:valAx>
        <c:axId val="135458176"/>
        <c:scaling>
          <c:orientation val="minMax"/>
        </c:scaling>
        <c:delete val="1"/>
        <c:axPos val="l"/>
        <c:numFmt formatCode="General" sourceLinked="1"/>
        <c:tickLblPos val="nextTo"/>
        <c:crossAx val="135456256"/>
        <c:crosses val="autoZero"/>
        <c:crossBetween val="between"/>
      </c:valAx>
    </c:plotArea>
    <c:legend>
      <c:legendPos val="t"/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 sz="1000"/>
              <a:t>Սպառողական գների ինդեքս /%/</a:t>
            </a:r>
          </a:p>
        </c:rich>
      </c:tx>
    </c:title>
    <c:plotArea>
      <c:layout/>
      <c:barChart>
        <c:barDir val="col"/>
        <c:grouping val="clustered"/>
        <c:ser>
          <c:idx val="1"/>
          <c:order val="0"/>
          <c:tx>
            <c:strRef>
              <c:f>Sheet1!$C$131</c:f>
              <c:strCache>
                <c:ptCount val="1"/>
                <c:pt idx="0">
                  <c:v>2016թ. հունվար-նոյեմբեր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Sheet1!$B$132:$B$133</c:f>
              <c:strCache>
                <c:ptCount val="2"/>
                <c:pt idx="0">
                  <c:v>     նախորդ տարվա նույն ժամանակաշրջանի նկատմամբ</c:v>
                </c:pt>
                <c:pt idx="1">
                  <c:v>     ժամանակաշրջանի վերջին ամիսը նախորդ տարվա դեկտեմբերի նկատմամբ</c:v>
                </c:pt>
              </c:strCache>
            </c:strRef>
          </c:cat>
          <c:val>
            <c:numRef>
              <c:f>Sheet1!$C$132:$C$133</c:f>
              <c:numCache>
                <c:formatCode>General</c:formatCode>
                <c:ptCount val="2"/>
                <c:pt idx="0">
                  <c:v>98.6</c:v>
                </c:pt>
                <c:pt idx="1">
                  <c:v>97.8</c:v>
                </c:pt>
              </c:numCache>
            </c:numRef>
          </c:val>
        </c:ser>
        <c:ser>
          <c:idx val="2"/>
          <c:order val="1"/>
          <c:tx>
            <c:strRef>
              <c:f>Sheet1!$D$131</c:f>
              <c:strCache>
                <c:ptCount val="1"/>
                <c:pt idx="0">
                  <c:v>2017թ. հունվար-նոյեմբեր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Sheet1!$B$132:$B$133</c:f>
              <c:strCache>
                <c:ptCount val="2"/>
                <c:pt idx="0">
                  <c:v>     նախորդ տարվա նույն ժամանակաշրջանի նկատմամբ</c:v>
                </c:pt>
                <c:pt idx="1">
                  <c:v>     ժամանակաշրջանի վերջին ամիսը նախորդ տարվա դեկտեմբերի նկատմամբ</c:v>
                </c:pt>
              </c:strCache>
            </c:strRef>
          </c:cat>
          <c:val>
            <c:numRef>
              <c:f>Sheet1!$D$132:$D$133</c:f>
              <c:numCache>
                <c:formatCode>General</c:formatCode>
                <c:ptCount val="2"/>
                <c:pt idx="0">
                  <c:v>100.8</c:v>
                </c:pt>
                <c:pt idx="1">
                  <c:v>101.1</c:v>
                </c:pt>
              </c:numCache>
            </c:numRef>
          </c:val>
        </c:ser>
        <c:ser>
          <c:idx val="3"/>
          <c:order val="2"/>
          <c:tx>
            <c:strRef>
              <c:f>Sheet1!$E$131</c:f>
              <c:strCache>
                <c:ptCount val="1"/>
                <c:pt idx="0">
                  <c:v>2018թ. հունվար-նոյեմբեր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Sheet1!$B$132:$B$133</c:f>
              <c:strCache>
                <c:ptCount val="2"/>
                <c:pt idx="0">
                  <c:v>     նախորդ տարվա նույն ժամանակաշրջանի նկատմամբ</c:v>
                </c:pt>
                <c:pt idx="1">
                  <c:v>     ժամանակաշրջանի վերջին ամիսը նախորդ տարվա դեկտեմբերի նկատմամբ</c:v>
                </c:pt>
              </c:strCache>
            </c:strRef>
          </c:cat>
          <c:val>
            <c:numRef>
              <c:f>Sheet1!$E$132:$E$133</c:f>
              <c:numCache>
                <c:formatCode>General</c:formatCode>
                <c:ptCount val="2"/>
                <c:pt idx="0">
                  <c:v>102.6</c:v>
                </c:pt>
                <c:pt idx="1">
                  <c:v>100.3</c:v>
                </c:pt>
              </c:numCache>
            </c:numRef>
          </c:val>
        </c:ser>
        <c:dLbls>
          <c:showVal val="1"/>
        </c:dLbls>
        <c:overlap val="-25"/>
        <c:axId val="81160832"/>
        <c:axId val="81187200"/>
      </c:barChart>
      <c:catAx>
        <c:axId val="8116083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81187200"/>
        <c:crosses val="autoZero"/>
        <c:auto val="1"/>
        <c:lblAlgn val="ctr"/>
        <c:lblOffset val="100"/>
      </c:catAx>
      <c:valAx>
        <c:axId val="81187200"/>
        <c:scaling>
          <c:orientation val="minMax"/>
        </c:scaling>
        <c:delete val="1"/>
        <c:axPos val="l"/>
        <c:numFmt formatCode="General" sourceLinked="1"/>
        <c:tickLblPos val="nextTo"/>
        <c:crossAx val="81160832"/>
        <c:crosses val="autoZero"/>
        <c:crossBetween val="between"/>
      </c:valAx>
    </c:plotArea>
    <c:legend>
      <c:legendPos val="t"/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 sz="1000"/>
              <a:t>Զուտ միջազգային պահուստներ (ԶՄՊ), ժամանակաշրջանի վերջի դրությամբ, մլն. դրամ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Sheet1!$B$154</c:f>
              <c:strCache>
                <c:ptCount val="1"/>
                <c:pt idx="0">
                  <c:v>Զուտ միջազգային պահուստներ (ԶՄՊ), ժամանակաշրջանի վերջի դրությամբ, մլն. դրամ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Sheet1!$C$153:$E$153</c:f>
              <c:strCache>
                <c:ptCount val="3"/>
                <c:pt idx="0">
                  <c:v>2016թ. հունվար-նոյեմբեր</c:v>
                </c:pt>
                <c:pt idx="1">
                  <c:v>2017թ. հունվար-նոյեմբեր</c:v>
                </c:pt>
                <c:pt idx="2">
                  <c:v>2018թ. հունվար-նոյեմբեր</c:v>
                </c:pt>
              </c:strCache>
            </c:strRef>
          </c:cat>
          <c:val>
            <c:numRef>
              <c:f>Sheet1!$C$154:$E$154</c:f>
              <c:numCache>
                <c:formatCode>#,##0.0;[Red]#,##0.0</c:formatCode>
                <c:ptCount val="3"/>
                <c:pt idx="0">
                  <c:v>483453</c:v>
                </c:pt>
                <c:pt idx="1">
                  <c:v>599385</c:v>
                </c:pt>
                <c:pt idx="2">
                  <c:v>610064</c:v>
                </c:pt>
              </c:numCache>
            </c:numRef>
          </c:val>
        </c:ser>
        <c:dLbls>
          <c:showVal val="1"/>
        </c:dLbls>
        <c:overlap val="-25"/>
        <c:axId val="81293696"/>
        <c:axId val="81295232"/>
      </c:barChart>
      <c:catAx>
        <c:axId val="81293696"/>
        <c:scaling>
          <c:orientation val="minMax"/>
        </c:scaling>
        <c:axPos val="b"/>
        <c:numFmt formatCode="0.00" sourceLinked="1"/>
        <c:maj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81295232"/>
        <c:crosses val="autoZero"/>
        <c:auto val="1"/>
        <c:lblAlgn val="ctr"/>
        <c:lblOffset val="100"/>
      </c:catAx>
      <c:valAx>
        <c:axId val="81295232"/>
        <c:scaling>
          <c:orientation val="minMax"/>
        </c:scaling>
        <c:delete val="1"/>
        <c:axPos val="l"/>
        <c:numFmt formatCode="#,##0.0;[Red]#,##0.0" sourceLinked="1"/>
        <c:tickLblPos val="nextTo"/>
        <c:crossAx val="812936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 sz="1000"/>
              <a:t>ՀՀ արտաքին առևտրաշրջանառությունը և առևտրի հաշվեկշիռը (մլն ԱՄՆ դոլար)</a:t>
            </a:r>
          </a:p>
        </c:rich>
      </c:tx>
    </c:title>
    <c:plotArea>
      <c:layout>
        <c:manualLayout>
          <c:layoutTarget val="inner"/>
          <c:xMode val="edge"/>
          <c:yMode val="edge"/>
          <c:x val="5.2139889084706304E-3"/>
          <c:y val="0.2214056576261301"/>
          <c:w val="0.98409610502999234"/>
          <c:h val="0.77396462697064838"/>
        </c:manualLayout>
      </c:layout>
      <c:barChart>
        <c:barDir val="col"/>
        <c:grouping val="clustered"/>
        <c:ser>
          <c:idx val="1"/>
          <c:order val="0"/>
          <c:tx>
            <c:strRef>
              <c:f>Sheet1!$C$172</c:f>
              <c:strCache>
                <c:ptCount val="1"/>
                <c:pt idx="0">
                  <c:v>2016թ. հունվար-նոյեմբեր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Sheet1!$B$173:$B$174</c:f>
              <c:strCache>
                <c:ptCount val="2"/>
                <c:pt idx="0">
                  <c:v>Արտաքին առևտրաշրջանառության ծավալը</c:v>
                </c:pt>
                <c:pt idx="1">
                  <c:v>Առևտրի հաշվեկշիռը</c:v>
                </c:pt>
              </c:strCache>
            </c:strRef>
          </c:cat>
          <c:val>
            <c:numRef>
              <c:f>Sheet1!$C$173:$C$174</c:f>
              <c:numCache>
                <c:formatCode>#,##0.0</c:formatCode>
                <c:ptCount val="2"/>
                <c:pt idx="0" formatCode="#,##0.0;[Red]#,##0.0">
                  <c:v>4577.8771000000006</c:v>
                </c:pt>
                <c:pt idx="1">
                  <c:v>-1315.5662</c:v>
                </c:pt>
              </c:numCache>
            </c:numRef>
          </c:val>
        </c:ser>
        <c:ser>
          <c:idx val="2"/>
          <c:order val="1"/>
          <c:tx>
            <c:strRef>
              <c:f>Sheet1!$D$172</c:f>
              <c:strCache>
                <c:ptCount val="1"/>
                <c:pt idx="0">
                  <c:v>2017թ. հունվար-նոյեմբեր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Sheet1!$B$173:$B$174</c:f>
              <c:strCache>
                <c:ptCount val="2"/>
                <c:pt idx="0">
                  <c:v>Արտաքին առևտրաշրջանառության ծավալը</c:v>
                </c:pt>
                <c:pt idx="1">
                  <c:v>Առևտրի հաշվեկշիռը</c:v>
                </c:pt>
              </c:strCache>
            </c:strRef>
          </c:cat>
          <c:val>
            <c:numRef>
              <c:f>Sheet1!$D$173:$D$174</c:f>
              <c:numCache>
                <c:formatCode>#,##0.0</c:formatCode>
                <c:ptCount val="2"/>
                <c:pt idx="0" formatCode="#,##0.0;[Red]#,##0.0">
                  <c:v>5645.2582999999995</c:v>
                </c:pt>
                <c:pt idx="1">
                  <c:v>-1635.3082999999999</c:v>
                </c:pt>
              </c:numCache>
            </c:numRef>
          </c:val>
        </c:ser>
        <c:ser>
          <c:idx val="3"/>
          <c:order val="2"/>
          <c:tx>
            <c:strRef>
              <c:f>Sheet1!$E$172</c:f>
              <c:strCache>
                <c:ptCount val="1"/>
                <c:pt idx="0">
                  <c:v>2018թ. հունվար-նոյեմբեր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Sheet1!$B$173:$B$174</c:f>
              <c:strCache>
                <c:ptCount val="2"/>
                <c:pt idx="0">
                  <c:v>Արտաքին առևտրաշրջանառության ծավալը</c:v>
                </c:pt>
                <c:pt idx="1">
                  <c:v>Առևտրի հաշվեկշիռը</c:v>
                </c:pt>
              </c:strCache>
            </c:strRef>
          </c:cat>
          <c:val>
            <c:numRef>
              <c:f>Sheet1!$E$173:$E$174</c:f>
              <c:numCache>
                <c:formatCode>#,##0.0</c:formatCode>
                <c:ptCount val="2"/>
                <c:pt idx="0" formatCode="#,##0.0;[Red]#,##0.0">
                  <c:v>6723.5246000000016</c:v>
                </c:pt>
                <c:pt idx="1">
                  <c:v>-2319.0167999999999</c:v>
                </c:pt>
              </c:numCache>
            </c:numRef>
          </c:val>
        </c:ser>
        <c:dLbls>
          <c:showVal val="1"/>
        </c:dLbls>
        <c:overlap val="-25"/>
        <c:axId val="81395712"/>
        <c:axId val="81397248"/>
      </c:barChart>
      <c:catAx>
        <c:axId val="813957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81397248"/>
        <c:crosses val="autoZero"/>
        <c:auto val="1"/>
        <c:lblAlgn val="ctr"/>
        <c:lblOffset val="100"/>
      </c:catAx>
      <c:valAx>
        <c:axId val="81397248"/>
        <c:scaling>
          <c:orientation val="minMax"/>
        </c:scaling>
        <c:delete val="1"/>
        <c:axPos val="l"/>
        <c:numFmt formatCode="#,##0.0;[Red]#,##0.0" sourceLinked="1"/>
        <c:tickLblPos val="nextTo"/>
        <c:crossAx val="813957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4.6167278371517725E-2"/>
          <c:y val="0.14850222153603351"/>
          <c:w val="0.901288929047803"/>
          <c:h val="7.6290120597670388E-2"/>
        </c:manualLayout>
      </c:layout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 sz="1000"/>
              <a:t>ՀՀ արտահանումը և ներմուծումը  (մլն ԱՄՆ դոլար)</a:t>
            </a:r>
          </a:p>
        </c:rich>
      </c:tx>
    </c:title>
    <c:plotArea>
      <c:layout>
        <c:manualLayout>
          <c:layoutTarget val="inner"/>
          <c:xMode val="edge"/>
          <c:yMode val="edge"/>
          <c:x val="0"/>
          <c:y val="0.19691894980004473"/>
          <c:w val="1"/>
          <c:h val="0.69178767480563352"/>
        </c:manualLayout>
      </c:layout>
      <c:barChart>
        <c:barDir val="col"/>
        <c:grouping val="clustered"/>
        <c:ser>
          <c:idx val="1"/>
          <c:order val="0"/>
          <c:tx>
            <c:strRef>
              <c:f>Sheet1!$C$193</c:f>
              <c:strCache>
                <c:ptCount val="1"/>
                <c:pt idx="0">
                  <c:v>2016թ. հունվար-նոյեմբեր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Sheet1!$B$194:$B$195</c:f>
              <c:strCache>
                <c:ptCount val="2"/>
                <c:pt idx="0">
                  <c:v>Արտահանում (ՖՕԲ գներով)</c:v>
                </c:pt>
                <c:pt idx="1">
                  <c:v>Ներմուծում (ՍԻՖ գներով)</c:v>
                </c:pt>
              </c:strCache>
            </c:strRef>
          </c:cat>
          <c:val>
            <c:numRef>
              <c:f>Sheet1!$C$194:$C$195</c:f>
              <c:numCache>
                <c:formatCode>#,##0.0;[Red]#,##0.0</c:formatCode>
                <c:ptCount val="2"/>
                <c:pt idx="0" formatCode="#,##0.0">
                  <c:v>1631.1553999999999</c:v>
                </c:pt>
                <c:pt idx="1">
                  <c:v>2946.7215999999999</c:v>
                </c:pt>
              </c:numCache>
            </c:numRef>
          </c:val>
        </c:ser>
        <c:ser>
          <c:idx val="2"/>
          <c:order val="1"/>
          <c:tx>
            <c:strRef>
              <c:f>Sheet1!$D$193</c:f>
              <c:strCache>
                <c:ptCount val="1"/>
                <c:pt idx="0">
                  <c:v>2017թ. հունվար-նոյեմբեր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Sheet1!$B$194:$B$195</c:f>
              <c:strCache>
                <c:ptCount val="2"/>
                <c:pt idx="0">
                  <c:v>Արտահանում (ՖՕԲ գներով)</c:v>
                </c:pt>
                <c:pt idx="1">
                  <c:v>Ներմուծում (ՍԻՖ գներով)</c:v>
                </c:pt>
              </c:strCache>
            </c:strRef>
          </c:cat>
          <c:val>
            <c:numRef>
              <c:f>Sheet1!$D$194:$D$195</c:f>
              <c:numCache>
                <c:formatCode>#,##0.0;[Red]#,##0.0</c:formatCode>
                <c:ptCount val="2"/>
                <c:pt idx="0">
                  <c:v>2004.9749999999999</c:v>
                </c:pt>
                <c:pt idx="1">
                  <c:v>3640.2833000000001</c:v>
                </c:pt>
              </c:numCache>
            </c:numRef>
          </c:val>
        </c:ser>
        <c:ser>
          <c:idx val="3"/>
          <c:order val="2"/>
          <c:tx>
            <c:strRef>
              <c:f>Sheet1!$E$193</c:f>
              <c:strCache>
                <c:ptCount val="1"/>
                <c:pt idx="0">
                  <c:v>2018թ. հունվար-նոյեմբեր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Sheet1!$B$194:$B$195</c:f>
              <c:strCache>
                <c:ptCount val="2"/>
                <c:pt idx="0">
                  <c:v>Արտահանում (ՖՕԲ գներով)</c:v>
                </c:pt>
                <c:pt idx="1">
                  <c:v>Ներմուծում (ՍԻՖ գներով)</c:v>
                </c:pt>
              </c:strCache>
            </c:strRef>
          </c:cat>
          <c:val>
            <c:numRef>
              <c:f>Sheet1!$E$194:$E$195</c:f>
              <c:numCache>
                <c:formatCode>#,##0.0;[Red]#,##0.0</c:formatCode>
                <c:ptCount val="2"/>
                <c:pt idx="0">
                  <c:v>2202.2539000000002</c:v>
                </c:pt>
                <c:pt idx="1">
                  <c:v>4521.2706999999991</c:v>
                </c:pt>
              </c:numCache>
            </c:numRef>
          </c:val>
        </c:ser>
        <c:dLbls>
          <c:showVal val="1"/>
        </c:dLbls>
        <c:overlap val="-25"/>
        <c:axId val="103755776"/>
        <c:axId val="103757312"/>
      </c:barChart>
      <c:catAx>
        <c:axId val="10375577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03757312"/>
        <c:crosses val="autoZero"/>
        <c:auto val="1"/>
        <c:lblAlgn val="ctr"/>
        <c:lblOffset val="100"/>
      </c:catAx>
      <c:valAx>
        <c:axId val="103757312"/>
        <c:scaling>
          <c:orientation val="minMax"/>
        </c:scaling>
        <c:delete val="1"/>
        <c:axPos val="l"/>
        <c:numFmt formatCode="#,##0.0" sourceLinked="1"/>
        <c:tickLblPos val="nextTo"/>
        <c:crossAx val="10375577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7.4164907725182412E-4"/>
          <c:y val="0.11894847528916931"/>
          <c:w val="0.99851648345648658"/>
          <c:h val="8.2176573354198229E-2"/>
        </c:manualLayout>
      </c:layout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946E-D0EC-40D1-A8DB-D00DD002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FinComm Expert2</dc:creator>
  <cp:lastModifiedBy>User</cp:lastModifiedBy>
  <cp:revision>27</cp:revision>
  <cp:lastPrinted>2017-06-14T06:31:00Z</cp:lastPrinted>
  <dcterms:created xsi:type="dcterms:W3CDTF">2018-06-12T11:55:00Z</dcterms:created>
  <dcterms:modified xsi:type="dcterms:W3CDTF">2019-01-14T08:12:00Z</dcterms:modified>
</cp:coreProperties>
</file>