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69" w:rsidRPr="00683FE4" w:rsidRDefault="00173A69" w:rsidP="00691BBD">
      <w:pPr>
        <w:spacing w:after="0" w:line="360" w:lineRule="auto"/>
        <w:jc w:val="right"/>
        <w:rPr>
          <w:rFonts w:ascii="GHEA Grapalat" w:hAnsi="GHEA Grapalat"/>
          <w:sz w:val="20"/>
          <w:szCs w:val="20"/>
        </w:rPr>
      </w:pPr>
      <w:proofErr w:type="spellStart"/>
      <w:r w:rsidRPr="00683FE4">
        <w:rPr>
          <w:rFonts w:ascii="GHEA Grapalat" w:hAnsi="GHEA Grapalat"/>
          <w:sz w:val="20"/>
          <w:szCs w:val="20"/>
        </w:rPr>
        <w:t>Պատրաստված</w:t>
      </w:r>
      <w:proofErr w:type="spellEnd"/>
      <w:r w:rsidRPr="00683FE4">
        <w:rPr>
          <w:rFonts w:ascii="GHEA Grapalat" w:hAnsi="GHEA Grapalat"/>
          <w:sz w:val="20"/>
          <w:szCs w:val="20"/>
        </w:rPr>
        <w:t xml:space="preserve"> է </w:t>
      </w:r>
      <w:r w:rsidR="00EE330C" w:rsidRPr="00683FE4">
        <w:rPr>
          <w:rFonts w:ascii="GHEA Grapalat" w:hAnsi="GHEA Grapalat"/>
          <w:sz w:val="20"/>
          <w:szCs w:val="20"/>
        </w:rPr>
        <w:t xml:space="preserve">ՀՀ </w:t>
      </w:r>
      <w:r w:rsidRPr="00683FE4">
        <w:rPr>
          <w:rFonts w:ascii="GHEA Grapalat" w:hAnsi="GHEA Grapalat"/>
          <w:sz w:val="20"/>
          <w:szCs w:val="20"/>
        </w:rPr>
        <w:t xml:space="preserve">ԱԺ </w:t>
      </w:r>
      <w:proofErr w:type="spellStart"/>
      <w:r w:rsidRPr="00683FE4">
        <w:rPr>
          <w:rFonts w:ascii="GHEA Grapalat" w:hAnsi="GHEA Grapalat"/>
          <w:sz w:val="20"/>
          <w:szCs w:val="20"/>
        </w:rPr>
        <w:t>բյուջետային</w:t>
      </w:r>
      <w:proofErr w:type="spellEnd"/>
      <w:r w:rsidRPr="00683F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83FE4">
        <w:rPr>
          <w:rFonts w:ascii="GHEA Grapalat" w:hAnsi="GHEA Grapalat"/>
          <w:sz w:val="20"/>
          <w:szCs w:val="20"/>
        </w:rPr>
        <w:t>գրասենյակի</w:t>
      </w:r>
      <w:proofErr w:type="spellEnd"/>
      <w:r w:rsidRPr="00683F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83FE4">
        <w:rPr>
          <w:rFonts w:ascii="GHEA Grapalat" w:hAnsi="GHEA Grapalat"/>
          <w:sz w:val="20"/>
          <w:szCs w:val="20"/>
        </w:rPr>
        <w:t>կողմից</w:t>
      </w:r>
      <w:proofErr w:type="spellEnd"/>
    </w:p>
    <w:p w:rsidR="00173A69" w:rsidRPr="00683FE4" w:rsidRDefault="00691BBD" w:rsidP="00B33D18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  <w:r w:rsidRPr="00683FE4">
        <w:rPr>
          <w:rFonts w:ascii="GHEA Grapalat" w:eastAsia="Times New Roman" w:hAnsi="GHEA Grapalat" w:cs="Arial"/>
          <w:b/>
          <w:bCs/>
          <w:sz w:val="24"/>
          <w:szCs w:val="24"/>
        </w:rPr>
        <w:t>ՏԵՂԵԿԱՆՔ</w:t>
      </w:r>
    </w:p>
    <w:p w:rsidR="00B33D18" w:rsidRPr="00683FE4" w:rsidRDefault="00691BBD" w:rsidP="00B33D18">
      <w:pPr>
        <w:spacing w:after="0" w:line="240" w:lineRule="auto"/>
        <w:jc w:val="center"/>
        <w:rPr>
          <w:rFonts w:ascii="GHEA Grapalat" w:eastAsia="Times New Roman" w:hAnsi="GHEA Grapalat" w:cs="Arial"/>
        </w:rPr>
      </w:pPr>
      <w:proofErr w:type="spellStart"/>
      <w:proofErr w:type="gramStart"/>
      <w:r w:rsidRPr="00683FE4">
        <w:rPr>
          <w:rFonts w:ascii="GHEA Grapalat" w:eastAsia="Times New Roman" w:hAnsi="GHEA Grapalat" w:cs="Arial"/>
        </w:rPr>
        <w:t>Հայաստանի</w:t>
      </w:r>
      <w:proofErr w:type="spellEnd"/>
      <w:r w:rsidRPr="00683FE4">
        <w:rPr>
          <w:rFonts w:ascii="GHEA Grapalat" w:eastAsia="Times New Roman" w:hAnsi="GHEA Grapalat" w:cs="Arial"/>
        </w:rPr>
        <w:t xml:space="preserve"> </w:t>
      </w:r>
      <w:proofErr w:type="spellStart"/>
      <w:r w:rsidRPr="00683FE4">
        <w:rPr>
          <w:rFonts w:ascii="GHEA Grapalat" w:eastAsia="Times New Roman" w:hAnsi="GHEA Grapalat" w:cs="Arial"/>
        </w:rPr>
        <w:t>Հանրապետության</w:t>
      </w:r>
      <w:proofErr w:type="spellEnd"/>
      <w:r w:rsidRPr="00683FE4">
        <w:rPr>
          <w:rFonts w:ascii="GHEA Grapalat" w:eastAsia="Times New Roman" w:hAnsi="GHEA Grapalat" w:cs="Arial"/>
        </w:rPr>
        <w:t xml:space="preserve"> 2014-2017 </w:t>
      </w:r>
      <w:proofErr w:type="spellStart"/>
      <w:r w:rsidRPr="00683FE4">
        <w:rPr>
          <w:rFonts w:ascii="GHEA Grapalat" w:eastAsia="Times New Roman" w:hAnsi="GHEA Grapalat" w:cs="Arial"/>
        </w:rPr>
        <w:t>թթ</w:t>
      </w:r>
      <w:proofErr w:type="spellEnd"/>
      <w:r w:rsidRPr="00683FE4">
        <w:rPr>
          <w:rFonts w:ascii="GHEA Grapalat" w:eastAsia="Times New Roman" w:hAnsi="GHEA Grapalat" w:cs="Arial"/>
        </w:rPr>
        <w:t>.</w:t>
      </w:r>
      <w:proofErr w:type="gramEnd"/>
      <w:r w:rsidRPr="00683FE4">
        <w:rPr>
          <w:rFonts w:ascii="GHEA Grapalat" w:eastAsia="Times New Roman" w:hAnsi="GHEA Grapalat" w:cs="Arial"/>
        </w:rPr>
        <w:t xml:space="preserve"> </w:t>
      </w:r>
      <w:proofErr w:type="spellStart"/>
      <w:proofErr w:type="gramStart"/>
      <w:r w:rsidRPr="00683FE4">
        <w:rPr>
          <w:rFonts w:ascii="GHEA Grapalat" w:eastAsia="Times New Roman" w:hAnsi="GHEA Grapalat" w:cs="Arial"/>
        </w:rPr>
        <w:t>պետական</w:t>
      </w:r>
      <w:proofErr w:type="spellEnd"/>
      <w:proofErr w:type="gramEnd"/>
      <w:r w:rsidRPr="00683FE4">
        <w:rPr>
          <w:rFonts w:ascii="GHEA Grapalat" w:eastAsia="Times New Roman" w:hAnsi="GHEA Grapalat" w:cs="Arial"/>
        </w:rPr>
        <w:t xml:space="preserve"> </w:t>
      </w:r>
      <w:proofErr w:type="spellStart"/>
      <w:r w:rsidRPr="00683FE4">
        <w:rPr>
          <w:rFonts w:ascii="GHEA Grapalat" w:eastAsia="Times New Roman" w:hAnsi="GHEA Grapalat" w:cs="Arial"/>
        </w:rPr>
        <w:t>բյուջեների</w:t>
      </w:r>
      <w:proofErr w:type="spellEnd"/>
      <w:r w:rsidRPr="00683FE4">
        <w:rPr>
          <w:rFonts w:ascii="GHEA Grapalat" w:eastAsia="Times New Roman" w:hAnsi="GHEA Grapalat" w:cs="Arial"/>
        </w:rPr>
        <w:t xml:space="preserve"> </w:t>
      </w:r>
      <w:proofErr w:type="spellStart"/>
      <w:r w:rsidRPr="00683FE4">
        <w:rPr>
          <w:rFonts w:ascii="GHEA Grapalat" w:eastAsia="Times New Roman" w:hAnsi="GHEA Grapalat" w:cs="Arial"/>
        </w:rPr>
        <w:t>եկամուտների</w:t>
      </w:r>
      <w:proofErr w:type="spellEnd"/>
      <w:r w:rsidRPr="00683FE4">
        <w:rPr>
          <w:rFonts w:ascii="GHEA Grapalat" w:eastAsia="Times New Roman" w:hAnsi="GHEA Grapalat" w:cs="Arial"/>
        </w:rPr>
        <w:t xml:space="preserve"> </w:t>
      </w:r>
      <w:proofErr w:type="spellStart"/>
      <w:r w:rsidRPr="00683FE4">
        <w:rPr>
          <w:rFonts w:ascii="GHEA Grapalat" w:eastAsia="Times New Roman" w:hAnsi="GHEA Grapalat" w:cs="Arial"/>
        </w:rPr>
        <w:t>վերաբերյալ</w:t>
      </w:r>
      <w:proofErr w:type="spellEnd"/>
      <w:r w:rsidRPr="00683FE4">
        <w:rPr>
          <w:rFonts w:ascii="GHEA Grapalat" w:eastAsia="Times New Roman" w:hAnsi="GHEA Grapalat" w:cs="Arial"/>
        </w:rPr>
        <w:t xml:space="preserve"> (</w:t>
      </w:r>
      <w:proofErr w:type="spellStart"/>
      <w:r w:rsidRPr="00683FE4">
        <w:rPr>
          <w:rFonts w:ascii="GHEA Grapalat" w:eastAsia="Times New Roman" w:hAnsi="GHEA Grapalat" w:cs="Arial"/>
        </w:rPr>
        <w:t>հունվար-</w:t>
      </w:r>
      <w:r w:rsidR="00B53F72">
        <w:rPr>
          <w:rFonts w:ascii="GHEA Grapalat" w:eastAsia="Times New Roman" w:hAnsi="GHEA Grapalat" w:cs="Arial"/>
        </w:rPr>
        <w:t>սեպտեմբեր</w:t>
      </w:r>
      <w:proofErr w:type="spellEnd"/>
      <w:r w:rsidRPr="00683FE4">
        <w:rPr>
          <w:rFonts w:ascii="GHEA Grapalat" w:eastAsia="Times New Roman" w:hAnsi="GHEA Grapalat" w:cs="Arial"/>
        </w:rPr>
        <w:t>)`</w:t>
      </w:r>
    </w:p>
    <w:p w:rsidR="00691BBD" w:rsidRPr="00683FE4" w:rsidRDefault="005B32B8" w:rsidP="005B32B8">
      <w:pPr>
        <w:spacing w:after="0" w:line="240" w:lineRule="auto"/>
        <w:jc w:val="center"/>
        <w:rPr>
          <w:rFonts w:ascii="GHEA Grapalat" w:eastAsia="Times New Roman" w:hAnsi="GHEA Grapalat" w:cs="Arial"/>
        </w:rPr>
      </w:pPr>
      <w:r w:rsidRPr="00683FE4">
        <w:rPr>
          <w:rFonts w:ascii="GHEA Grapalat" w:eastAsia="Times New Roman" w:hAnsi="GHEA Grapalat" w:cs="Arial"/>
        </w:rPr>
        <w:t xml:space="preserve">                                                                           </w:t>
      </w:r>
      <w:proofErr w:type="spellStart"/>
      <w:proofErr w:type="gramStart"/>
      <w:r w:rsidR="00D72992" w:rsidRPr="00683FE4">
        <w:rPr>
          <w:rFonts w:ascii="GHEA Grapalat" w:eastAsia="Times New Roman" w:hAnsi="GHEA Grapalat" w:cs="Arial"/>
        </w:rPr>
        <w:t>գ</w:t>
      </w:r>
      <w:r w:rsidR="00691BBD" w:rsidRPr="00683FE4">
        <w:rPr>
          <w:rFonts w:ascii="GHEA Grapalat" w:eastAsia="Times New Roman" w:hAnsi="GHEA Grapalat" w:cs="Arial"/>
        </w:rPr>
        <w:t>ծապատկերներով</w:t>
      </w:r>
      <w:proofErr w:type="spellEnd"/>
      <w:proofErr w:type="gramEnd"/>
      <w:r w:rsidRPr="00683FE4">
        <w:rPr>
          <w:rFonts w:ascii="GHEA Grapalat" w:eastAsia="Times New Roman" w:hAnsi="GHEA Grapalat" w:cs="Arial"/>
        </w:rPr>
        <w:t xml:space="preserve">                                                          </w:t>
      </w:r>
    </w:p>
    <w:p w:rsidR="00B71918" w:rsidRPr="00683FE4" w:rsidRDefault="00B71918" w:rsidP="00B33D18">
      <w:pPr>
        <w:spacing w:after="0" w:line="240" w:lineRule="auto"/>
        <w:jc w:val="center"/>
        <w:rPr>
          <w:rFonts w:ascii="GHEA Grapalat" w:eastAsia="Times New Roman" w:hAnsi="GHEA Grapalat" w:cs="Arial"/>
          <w:sz w:val="8"/>
          <w:szCs w:val="8"/>
        </w:rPr>
      </w:pPr>
    </w:p>
    <w:p w:rsidR="00173A69" w:rsidRPr="00683FE4" w:rsidRDefault="0058408A">
      <w:pPr>
        <w:rPr>
          <w:rFonts w:ascii="GHEA Grapalat" w:hAnsi="GHEA Grapalat"/>
        </w:rPr>
      </w:pPr>
      <w:r w:rsidRPr="0058408A">
        <w:rPr>
          <w:rFonts w:ascii="GHEA Grapalat" w:hAnsi="GHEA Grapalat"/>
          <w:noProof/>
        </w:rPr>
        <w:drawing>
          <wp:inline distT="0" distB="0" distL="0" distR="0">
            <wp:extent cx="4648200" cy="2981325"/>
            <wp:effectExtent l="19050" t="0" r="1905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GHEA Grapalat" w:hAnsi="GHEA Grapalat"/>
          <w:noProof/>
        </w:rPr>
        <w:t xml:space="preserve"> </w:t>
      </w:r>
      <w:r w:rsidR="003C04F6" w:rsidRPr="003C04F6">
        <w:rPr>
          <w:rFonts w:ascii="GHEA Grapalat" w:hAnsi="GHEA Grapalat"/>
          <w:noProof/>
        </w:rPr>
        <w:drawing>
          <wp:inline distT="0" distB="0" distL="0" distR="0">
            <wp:extent cx="4791075" cy="2981325"/>
            <wp:effectExtent l="19050" t="0" r="9525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1918" w:rsidRPr="00683FE4" w:rsidRDefault="00B53F72">
      <w:pPr>
        <w:rPr>
          <w:rFonts w:ascii="GHEA Grapalat" w:hAnsi="GHEA Grapalat" w:cs="Sylfaen"/>
        </w:rPr>
      </w:pPr>
      <w:r w:rsidRPr="00B53F72">
        <w:rPr>
          <w:rFonts w:ascii="GHEA Grapalat" w:hAnsi="GHEA Grapalat" w:cs="Sylfaen"/>
          <w:noProof/>
        </w:rPr>
        <w:drawing>
          <wp:inline distT="0" distB="0" distL="0" distR="0">
            <wp:extent cx="4648200" cy="27432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58408A">
        <w:rPr>
          <w:rFonts w:ascii="GHEA Grapalat" w:hAnsi="GHEA Grapalat" w:cs="Sylfaen"/>
        </w:rPr>
        <w:t xml:space="preserve">  </w:t>
      </w:r>
      <w:r w:rsidR="00AE615B" w:rsidRPr="00AE615B">
        <w:rPr>
          <w:rFonts w:ascii="GHEA Grapalat" w:hAnsi="GHEA Grapalat" w:cs="Sylfaen"/>
          <w:noProof/>
        </w:rPr>
        <w:drawing>
          <wp:inline distT="0" distB="0" distL="0" distR="0">
            <wp:extent cx="4638675" cy="2743200"/>
            <wp:effectExtent l="19050" t="0" r="9525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5DF0" w:rsidRPr="00683FE4" w:rsidRDefault="00B71918" w:rsidP="00B71918">
      <w:pPr>
        <w:spacing w:after="0" w:line="240" w:lineRule="auto"/>
        <w:rPr>
          <w:rFonts w:ascii="GHEA Grapalat" w:hAnsi="GHEA Grapalat"/>
          <w:sz w:val="16"/>
          <w:szCs w:val="16"/>
        </w:rPr>
      </w:pP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Տեղեկատվության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աղբյուրներ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են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հանդիսացել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Հայաստանի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Հանրապետության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ֆինանսների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նախարարության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ինտերնետային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կայքում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հրապարակված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Հայաստանի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Հանրապետության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r w:rsidR="005A7921" w:rsidRPr="00683FE4">
        <w:rPr>
          <w:rFonts w:ascii="GHEA Grapalat" w:hAnsi="GHEA Grapalat"/>
          <w:b/>
          <w:sz w:val="16"/>
          <w:szCs w:val="16"/>
        </w:rPr>
        <w:t xml:space="preserve">2014-2017 </w:t>
      </w:r>
      <w:proofErr w:type="spellStart"/>
      <w:r w:rsidR="005A7921" w:rsidRPr="00683FE4">
        <w:rPr>
          <w:rFonts w:ascii="GHEA Grapalat" w:hAnsi="GHEA Grapalat" w:cs="Sylfaen"/>
          <w:b/>
          <w:sz w:val="16"/>
          <w:szCs w:val="16"/>
        </w:rPr>
        <w:t>թթ</w:t>
      </w:r>
      <w:proofErr w:type="spellEnd"/>
      <w:r w:rsidR="005A7921" w:rsidRPr="00683FE4">
        <w:rPr>
          <w:rFonts w:ascii="GHEA Grapalat" w:hAnsi="GHEA Grapalat" w:cs="Sylfaen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պետական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բյուջե</w:t>
      </w:r>
      <w:r w:rsidR="005A7921" w:rsidRPr="00683FE4">
        <w:rPr>
          <w:rFonts w:ascii="GHEA Grapalat" w:hAnsi="GHEA Grapalat" w:cs="Sylfaen"/>
          <w:b/>
          <w:sz w:val="16"/>
          <w:szCs w:val="16"/>
        </w:rPr>
        <w:t>ներ</w:t>
      </w:r>
      <w:r w:rsidRPr="00683FE4">
        <w:rPr>
          <w:rFonts w:ascii="GHEA Grapalat" w:hAnsi="GHEA Grapalat" w:cs="Sylfaen"/>
          <w:b/>
          <w:sz w:val="16"/>
          <w:szCs w:val="16"/>
        </w:rPr>
        <w:t>ի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կատարման</w:t>
      </w:r>
      <w:proofErr w:type="spellEnd"/>
      <w:r w:rsidR="00657CA8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="00D61722">
        <w:rPr>
          <w:rFonts w:ascii="GHEA Grapalat" w:hAnsi="GHEA Grapalat" w:cs="Sylfaen"/>
          <w:b/>
          <w:sz w:val="16"/>
          <w:szCs w:val="16"/>
        </w:rPr>
        <w:t>սեպտեմբեր</w:t>
      </w:r>
      <w:proofErr w:type="spellEnd"/>
      <w:r w:rsidR="00D61722">
        <w:rPr>
          <w:rFonts w:ascii="GHEA Grapalat" w:hAnsi="GHEA Grapalat" w:cs="Sylfaen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ամսվա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ամփոփ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բնութագրերը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r w:rsidRPr="00683FE4">
        <w:rPr>
          <w:rFonts w:ascii="GHEA Grapalat" w:hAnsi="GHEA Grapalat" w:cs="Sylfaen"/>
          <w:b/>
          <w:sz w:val="16"/>
          <w:szCs w:val="16"/>
        </w:rPr>
        <w:t>և</w:t>
      </w:r>
      <w:r w:rsidRPr="00683FE4">
        <w:rPr>
          <w:rFonts w:ascii="GHEA Grapalat" w:hAnsi="GHEA Grapalat"/>
          <w:b/>
          <w:sz w:val="16"/>
          <w:szCs w:val="16"/>
        </w:rPr>
        <w:t xml:space="preserve"> «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Հայաստանի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Հանրապետության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2017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թվականի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պետական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բյուջեի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կատարումն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ապահովող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միջոցառումների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մասին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»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Հայաստանի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Հանրապետության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կառավարության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29.12.2016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թվականի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թիվ</w:t>
      </w:r>
      <w:proofErr w:type="spellEnd"/>
      <w:r w:rsidRPr="00683FE4">
        <w:rPr>
          <w:rFonts w:ascii="GHEA Grapalat" w:hAnsi="GHEA Grapalat"/>
          <w:b/>
          <w:sz w:val="16"/>
          <w:szCs w:val="16"/>
        </w:rPr>
        <w:t xml:space="preserve"> 1313-</w:t>
      </w:r>
      <w:r w:rsidRPr="00683FE4">
        <w:rPr>
          <w:rFonts w:ascii="GHEA Grapalat" w:hAnsi="GHEA Grapalat" w:cs="Sylfaen"/>
          <w:b/>
          <w:sz w:val="16"/>
          <w:szCs w:val="16"/>
        </w:rPr>
        <w:t>Ն</w:t>
      </w:r>
      <w:r w:rsidRPr="00683FE4">
        <w:rPr>
          <w:rFonts w:ascii="GHEA Grapalat" w:hAnsi="GHEA Grapalat"/>
          <w:b/>
          <w:sz w:val="16"/>
          <w:szCs w:val="16"/>
        </w:rPr>
        <w:t xml:space="preserve"> </w:t>
      </w:r>
      <w:proofErr w:type="spellStart"/>
      <w:r w:rsidRPr="00683FE4">
        <w:rPr>
          <w:rFonts w:ascii="GHEA Grapalat" w:hAnsi="GHEA Grapalat" w:cs="Sylfaen"/>
          <w:b/>
          <w:sz w:val="16"/>
          <w:szCs w:val="16"/>
        </w:rPr>
        <w:t>որոշումը</w:t>
      </w:r>
      <w:proofErr w:type="spellEnd"/>
    </w:p>
    <w:sectPr w:rsidR="00D25DF0" w:rsidRPr="00683FE4" w:rsidSect="00751C9B">
      <w:pgSz w:w="15840" w:h="12240" w:orient="landscape"/>
      <w:pgMar w:top="270" w:right="180" w:bottom="1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73A69"/>
    <w:rsid w:val="0000664B"/>
    <w:rsid w:val="0000686A"/>
    <w:rsid w:val="000B64F2"/>
    <w:rsid w:val="00113D8C"/>
    <w:rsid w:val="00116141"/>
    <w:rsid w:val="0016256A"/>
    <w:rsid w:val="00173A69"/>
    <w:rsid w:val="00180890"/>
    <w:rsid w:val="0019261D"/>
    <w:rsid w:val="0019674F"/>
    <w:rsid w:val="001F75CD"/>
    <w:rsid w:val="00256212"/>
    <w:rsid w:val="00283215"/>
    <w:rsid w:val="00291EAC"/>
    <w:rsid w:val="002C450F"/>
    <w:rsid w:val="003C04F6"/>
    <w:rsid w:val="00453866"/>
    <w:rsid w:val="00510552"/>
    <w:rsid w:val="00526BC2"/>
    <w:rsid w:val="005768CB"/>
    <w:rsid w:val="00577BCF"/>
    <w:rsid w:val="0058408A"/>
    <w:rsid w:val="005A7921"/>
    <w:rsid w:val="005B32B8"/>
    <w:rsid w:val="005E0FD9"/>
    <w:rsid w:val="005F01F7"/>
    <w:rsid w:val="00657CA8"/>
    <w:rsid w:val="00683FE4"/>
    <w:rsid w:val="00691BBD"/>
    <w:rsid w:val="006A7C1F"/>
    <w:rsid w:val="007112B3"/>
    <w:rsid w:val="00743126"/>
    <w:rsid w:val="00751C9B"/>
    <w:rsid w:val="007833A4"/>
    <w:rsid w:val="007A30C5"/>
    <w:rsid w:val="007E157D"/>
    <w:rsid w:val="008348A9"/>
    <w:rsid w:val="00845E5A"/>
    <w:rsid w:val="009056F8"/>
    <w:rsid w:val="0093464C"/>
    <w:rsid w:val="00934C96"/>
    <w:rsid w:val="00A31794"/>
    <w:rsid w:val="00A54DB0"/>
    <w:rsid w:val="00A6161B"/>
    <w:rsid w:val="00A855AE"/>
    <w:rsid w:val="00AE615B"/>
    <w:rsid w:val="00B33D18"/>
    <w:rsid w:val="00B53F72"/>
    <w:rsid w:val="00B71918"/>
    <w:rsid w:val="00BA4DE7"/>
    <w:rsid w:val="00C5174D"/>
    <w:rsid w:val="00C5622D"/>
    <w:rsid w:val="00C90DAB"/>
    <w:rsid w:val="00CA6F13"/>
    <w:rsid w:val="00CB7BF1"/>
    <w:rsid w:val="00CE73D3"/>
    <w:rsid w:val="00CF72D9"/>
    <w:rsid w:val="00D231D5"/>
    <w:rsid w:val="00D25DF0"/>
    <w:rsid w:val="00D61722"/>
    <w:rsid w:val="00D72992"/>
    <w:rsid w:val="00DC6619"/>
    <w:rsid w:val="00E91C9A"/>
    <w:rsid w:val="00EE330C"/>
    <w:rsid w:val="00F07CF6"/>
    <w:rsid w:val="00F73DAE"/>
    <w:rsid w:val="00F8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RSGAGIK3\Azgayin%20joghovi%20byujetayin%20grasenyak\PBO%20in%20PRACTICE\2017%20TVAKANI%20PBO%20GORTSUNEUTYUN\revenue\hubvar-september-2017\September%202017-%20&#1333;&#1391;&#1377;&#1396;&#1400;&#1410;&#1407;&#1398;&#1381;&#1408;%20-%20&#1379;&#1390;&#1377;&#1402;&#1377;&#1407;&#1391;&#1381;&#1408;&#1398;&#1381;&#1408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RSGAGIK3\Azgayin%20joghovi%20byujetayin%20grasenyak\PBO%20in%20PRACTICE\2017%20TVAKANI%20PBO%20GORTSUNEUTYUN\revenue\hubvar-september-2017\September%202017-%20&#1333;&#1391;&#1377;&#1396;&#1400;&#1410;&#1407;&#1398;&#1381;&#1408;%20-%20&#1379;&#1390;&#1377;&#1402;&#1377;&#1407;&#1391;&#1381;&#1408;&#1398;&#1381;&#1408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.Budjet6-26\Desktop\&#1359;&#1333;&#1346;&#1333;&#1343;&#1329;&#1350;&#1364;&#1350;&#1333;&#1360;2017\&#1333;&#1343;&#1329;&#1348;&#1352;&#1362;&#1359;&#1350;&#1333;&#1360;%202017\September\September%202017-%20&#1333;&#1391;&#1377;&#1396;&#1400;&#1410;&#1407;&#1398;&#1381;&#1408;%20-%20&#1379;&#1390;&#1377;&#1402;&#1377;&#1407;&#1391;&#1381;&#1408;&#1398;&#1381;&#1408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RSGAGIK3\Azgayin%20joghovi%20byujetayin%20grasenyak\PBO%20in%20PRACTICE\2017%20TVAKANI%20PBO%20GORTSUNEUTYUN\revenue\hubvar-september-2017\September%202017-%20&#1333;&#1391;&#1377;&#1396;&#1400;&#1410;&#1407;&#1398;&#1381;&#1408;%20-%20&#1379;&#1390;&#1377;&#1402;&#1377;&#1407;&#1391;&#1381;&#1408;&#1398;&#1381;&#1408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/>
              <a:t>մլրդ դրամ</a:t>
            </a:r>
          </a:p>
        </c:rich>
      </c:tx>
      <c:layout>
        <c:manualLayout>
          <c:xMode val="edge"/>
          <c:yMode val="edge"/>
          <c:x val="0.4218888888888897"/>
          <c:y val="1.3888888888888912E-2"/>
        </c:manualLayout>
      </c:layout>
    </c:title>
    <c:plotArea>
      <c:layout>
        <c:manualLayout>
          <c:layoutTarget val="inner"/>
          <c:xMode val="edge"/>
          <c:yMode val="edge"/>
          <c:x val="3.0555555555555582E-2"/>
          <c:y val="0.3780832604257805"/>
          <c:w val="0.93888888888888955"/>
          <c:h val="0.46137685914260795"/>
        </c:manualLayout>
      </c:layout>
      <c:barChart>
        <c:barDir val="col"/>
        <c:grouping val="clustered"/>
        <c:ser>
          <c:idx val="0"/>
          <c:order val="0"/>
          <c:tx>
            <c:strRef>
              <c:f>Ընդամենը!$A$14</c:f>
              <c:strCache>
                <c:ptCount val="1"/>
                <c:pt idx="0">
                  <c:v>ԸՆԴԱՄԵՆԸ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Ընդամենը!$B$13:$C$13</c:f>
              <c:strCache>
                <c:ptCount val="2"/>
                <c:pt idx="0">
                  <c:v>2017թ. (ինն ամիս (հաստատված))</c:v>
                </c:pt>
                <c:pt idx="1">
                  <c:v>2017թ. (ինն ամիս (փաստացի))</c:v>
                </c:pt>
              </c:strCache>
            </c:strRef>
          </c:cat>
          <c:val>
            <c:numRef>
              <c:f>Ընդամենը!$B$14:$C$14</c:f>
              <c:numCache>
                <c:formatCode>#,##0.0;[Red]#,##0.0</c:formatCode>
                <c:ptCount val="2"/>
                <c:pt idx="0">
                  <c:v>863.5</c:v>
                </c:pt>
                <c:pt idx="1">
                  <c:v>888.4</c:v>
                </c:pt>
              </c:numCache>
            </c:numRef>
          </c:val>
        </c:ser>
        <c:ser>
          <c:idx val="1"/>
          <c:order val="1"/>
          <c:tx>
            <c:strRef>
              <c:f>Ընդամենը!$A$15</c:f>
              <c:strCache>
                <c:ptCount val="1"/>
                <c:pt idx="0">
                  <c:v>ՀԱՐԿԱՅԻՆ ԵԿԱՄՈՒՏՆԵՐ ԵՎ ՊԵՏԱԿԱՆ ՏՈՒՐՔԵՐ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Ընդամենը!$B$13:$C$13</c:f>
              <c:strCache>
                <c:ptCount val="2"/>
                <c:pt idx="0">
                  <c:v>2017թ. (ինն ամիս (հաստատված))</c:v>
                </c:pt>
                <c:pt idx="1">
                  <c:v>2017թ. (ինն ամիս (փաստացի))</c:v>
                </c:pt>
              </c:strCache>
            </c:strRef>
          </c:cat>
          <c:val>
            <c:numRef>
              <c:f>Ընդամենը!$B$15:$C$15</c:f>
              <c:numCache>
                <c:formatCode>#,##0.0;[Red]#,##0.0</c:formatCode>
                <c:ptCount val="2"/>
                <c:pt idx="0">
                  <c:v>827.2</c:v>
                </c:pt>
                <c:pt idx="1">
                  <c:v>836.4</c:v>
                </c:pt>
              </c:numCache>
            </c:numRef>
          </c:val>
        </c:ser>
        <c:ser>
          <c:idx val="2"/>
          <c:order val="2"/>
          <c:tx>
            <c:strRef>
              <c:f>Ընդամենը!$A$16</c:f>
              <c:strCache>
                <c:ptCount val="1"/>
                <c:pt idx="0">
                  <c:v>ՊԱՇՏՈՆԱԿԱՆ ԴՐԱՄԱՇՆՈՐՀՆԵՐ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Ընդամենը!$B$13:$C$13</c:f>
              <c:strCache>
                <c:ptCount val="2"/>
                <c:pt idx="0">
                  <c:v>2017թ. (ինն ամիս (հաստատված))</c:v>
                </c:pt>
                <c:pt idx="1">
                  <c:v>2017թ. (ինն ամիս (փաստացի))</c:v>
                </c:pt>
              </c:strCache>
            </c:strRef>
          </c:cat>
          <c:val>
            <c:numRef>
              <c:f>Ընդամենը!$B$16:$C$16</c:f>
              <c:numCache>
                <c:formatCode>#,##0.0;[Red]#,##0.0</c:formatCode>
                <c:ptCount val="2"/>
                <c:pt idx="0">
                  <c:v>16.2</c:v>
                </c:pt>
                <c:pt idx="1">
                  <c:v>7.3</c:v>
                </c:pt>
              </c:numCache>
            </c:numRef>
          </c:val>
        </c:ser>
        <c:ser>
          <c:idx val="3"/>
          <c:order val="3"/>
          <c:tx>
            <c:strRef>
              <c:f>Ընդամենը!$A$17</c:f>
              <c:strCache>
                <c:ptCount val="1"/>
                <c:pt idx="0">
                  <c:v>ԱՅԼ ԵԿԱՄՈՒՏՆԵՐ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Ընդամենը!$B$13:$C$13</c:f>
              <c:strCache>
                <c:ptCount val="2"/>
                <c:pt idx="0">
                  <c:v>2017թ. (ինն ամիս (հաստատված))</c:v>
                </c:pt>
                <c:pt idx="1">
                  <c:v>2017թ. (ինն ամիս (փաստացի))</c:v>
                </c:pt>
              </c:strCache>
            </c:strRef>
          </c:cat>
          <c:val>
            <c:numRef>
              <c:f>Ընդամենը!$B$17:$C$17</c:f>
              <c:numCache>
                <c:formatCode>#,##0.0;[Red]#,##0.0</c:formatCode>
                <c:ptCount val="2"/>
                <c:pt idx="0">
                  <c:v>20.100000000000001</c:v>
                </c:pt>
                <c:pt idx="1">
                  <c:v>44.8</c:v>
                </c:pt>
              </c:numCache>
            </c:numRef>
          </c:val>
        </c:ser>
        <c:dLbls>
          <c:showVal val="1"/>
        </c:dLbls>
        <c:overlap val="-25"/>
        <c:axId val="113398144"/>
        <c:axId val="113399680"/>
      </c:barChart>
      <c:catAx>
        <c:axId val="1133981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13399680"/>
        <c:crosses val="autoZero"/>
        <c:auto val="1"/>
        <c:lblAlgn val="ctr"/>
        <c:lblOffset val="100"/>
      </c:catAx>
      <c:valAx>
        <c:axId val="113399680"/>
        <c:scaling>
          <c:orientation val="minMax"/>
        </c:scaling>
        <c:delete val="1"/>
        <c:axPos val="l"/>
        <c:numFmt formatCode="#,##0.0;[Red]#,##0.0" sourceLinked="1"/>
        <c:tickLblPos val="nextTo"/>
        <c:crossAx val="11339814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3945756780402481E-4"/>
          <c:y val="9.3888888888888938E-2"/>
          <c:w val="0.98543197725284337"/>
          <c:h val="0.23326844561096557"/>
        </c:manualLayout>
      </c:layout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000" b="1">
                <a:latin typeface="GHEA Grapalat" pitchFamily="50" charset="0"/>
              </a:defRPr>
            </a:pPr>
            <a:r>
              <a:rPr lang="en-US" sz="1000" b="1">
                <a:latin typeface="GHEA Grapalat" pitchFamily="50" charset="0"/>
              </a:rPr>
              <a:t>մլրդ</a:t>
            </a:r>
            <a:r>
              <a:rPr lang="en-US" sz="1000" b="1" baseline="0">
                <a:latin typeface="GHEA Grapalat" pitchFamily="50" charset="0"/>
              </a:rPr>
              <a:t> դրամ</a:t>
            </a:r>
            <a:endParaRPr lang="en-US" sz="1000" b="1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41726972844347771"/>
          <c:y val="1.2779552715654953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Հարկեր!$B$1</c:f>
              <c:strCache>
                <c:ptCount val="1"/>
                <c:pt idx="0">
                  <c:v>2014թ. 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Հարկեր!$A$2:$A$7</c:f>
              <c:strCache>
                <c:ptCount val="6"/>
                <c:pt idx="0">
                  <c:v>ԱԱՀ</c:v>
                </c:pt>
                <c:pt idx="1">
                  <c:v>Ակցիզային հարկ</c:v>
                </c:pt>
                <c:pt idx="2">
                  <c:v>Շահութահարկ</c:v>
                </c:pt>
                <c:pt idx="3">
                  <c:v>Եկամտային հարկ</c:v>
                </c:pt>
                <c:pt idx="4">
                  <c:v>Մաքսատուրքեր</c:v>
                </c:pt>
                <c:pt idx="5">
                  <c:v>Հաստատագրված վճարներ</c:v>
                </c:pt>
              </c:strCache>
            </c:strRef>
          </c:cat>
          <c:val>
            <c:numRef>
              <c:f>Հարկեր!$B$2:$B$7</c:f>
              <c:numCache>
                <c:formatCode>General</c:formatCode>
                <c:ptCount val="6"/>
                <c:pt idx="0">
                  <c:v>323.8</c:v>
                </c:pt>
                <c:pt idx="1">
                  <c:v>34.5</c:v>
                </c:pt>
                <c:pt idx="2">
                  <c:v>88.4</c:v>
                </c:pt>
                <c:pt idx="3">
                  <c:v>209.6</c:v>
                </c:pt>
                <c:pt idx="4">
                  <c:v>36.9</c:v>
                </c:pt>
                <c:pt idx="5">
                  <c:v>4.0999999999999996</c:v>
                </c:pt>
              </c:numCache>
            </c:numRef>
          </c:val>
        </c:ser>
        <c:ser>
          <c:idx val="1"/>
          <c:order val="1"/>
          <c:tx>
            <c:strRef>
              <c:f>Հարկեր!$C$1</c:f>
              <c:strCache>
                <c:ptCount val="1"/>
                <c:pt idx="0">
                  <c:v>2015թ.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Հարկեր!$A$2:$A$7</c:f>
              <c:strCache>
                <c:ptCount val="6"/>
                <c:pt idx="0">
                  <c:v>ԱԱՀ</c:v>
                </c:pt>
                <c:pt idx="1">
                  <c:v>Ակցիզային հարկ</c:v>
                </c:pt>
                <c:pt idx="2">
                  <c:v>Շահութահարկ</c:v>
                </c:pt>
                <c:pt idx="3">
                  <c:v>Եկամտային հարկ</c:v>
                </c:pt>
                <c:pt idx="4">
                  <c:v>Մաքսատուրքեր</c:v>
                </c:pt>
                <c:pt idx="5">
                  <c:v>Հաստատագրված վճարներ</c:v>
                </c:pt>
              </c:strCache>
            </c:strRef>
          </c:cat>
          <c:val>
            <c:numRef>
              <c:f>Հարկեր!$C$2:$C$7</c:f>
              <c:numCache>
                <c:formatCode>General</c:formatCode>
                <c:ptCount val="6"/>
                <c:pt idx="0">
                  <c:v>313.39999999999981</c:v>
                </c:pt>
                <c:pt idx="1">
                  <c:v>35.1</c:v>
                </c:pt>
                <c:pt idx="2">
                  <c:v>79.900000000000006</c:v>
                </c:pt>
                <c:pt idx="3">
                  <c:v>225.4</c:v>
                </c:pt>
                <c:pt idx="4">
                  <c:v>46.7</c:v>
                </c:pt>
                <c:pt idx="5">
                  <c:v>2.2999999999999998</c:v>
                </c:pt>
              </c:numCache>
            </c:numRef>
          </c:val>
        </c:ser>
        <c:ser>
          <c:idx val="2"/>
          <c:order val="2"/>
          <c:tx>
            <c:strRef>
              <c:f>Հարկեր!$D$1</c:f>
              <c:strCache>
                <c:ptCount val="1"/>
                <c:pt idx="0">
                  <c:v>2016թ. 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Հարկեր!$A$2:$A$7</c:f>
              <c:strCache>
                <c:ptCount val="6"/>
                <c:pt idx="0">
                  <c:v>ԱԱՀ</c:v>
                </c:pt>
                <c:pt idx="1">
                  <c:v>Ակցիզային հարկ</c:v>
                </c:pt>
                <c:pt idx="2">
                  <c:v>Շահութահարկ</c:v>
                </c:pt>
                <c:pt idx="3">
                  <c:v>Եկամտային հարկ</c:v>
                </c:pt>
                <c:pt idx="4">
                  <c:v>Մաքսատուրքեր</c:v>
                </c:pt>
                <c:pt idx="5">
                  <c:v>Հաստատագրված վճարներ</c:v>
                </c:pt>
              </c:strCache>
            </c:strRef>
          </c:cat>
          <c:val>
            <c:numRef>
              <c:f>Հարկեր!$D$2:$D$7</c:f>
              <c:numCache>
                <c:formatCode>General</c:formatCode>
                <c:ptCount val="6"/>
                <c:pt idx="0">
                  <c:v>277</c:v>
                </c:pt>
                <c:pt idx="1">
                  <c:v>41.4</c:v>
                </c:pt>
                <c:pt idx="2">
                  <c:v>102.8</c:v>
                </c:pt>
                <c:pt idx="3">
                  <c:v>237.4</c:v>
                </c:pt>
                <c:pt idx="4">
                  <c:v>40.300000000000004</c:v>
                </c:pt>
                <c:pt idx="5">
                  <c:v>2.4</c:v>
                </c:pt>
              </c:numCache>
            </c:numRef>
          </c:val>
        </c:ser>
        <c:ser>
          <c:idx val="3"/>
          <c:order val="3"/>
          <c:tx>
            <c:strRef>
              <c:f>Հարկեր!$E$1</c:f>
              <c:strCache>
                <c:ptCount val="1"/>
                <c:pt idx="0">
                  <c:v>2017թ.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Հարկեր!$A$2:$A$7</c:f>
              <c:strCache>
                <c:ptCount val="6"/>
                <c:pt idx="0">
                  <c:v>ԱԱՀ</c:v>
                </c:pt>
                <c:pt idx="1">
                  <c:v>Ակցիզային հարկ</c:v>
                </c:pt>
                <c:pt idx="2">
                  <c:v>Շահութահարկ</c:v>
                </c:pt>
                <c:pt idx="3">
                  <c:v>Եկամտային հարկ</c:v>
                </c:pt>
                <c:pt idx="4">
                  <c:v>Մաքսատուրքեր</c:v>
                </c:pt>
                <c:pt idx="5">
                  <c:v>Հաստատագրված վճարներ</c:v>
                </c:pt>
              </c:strCache>
            </c:strRef>
          </c:cat>
          <c:val>
            <c:numRef>
              <c:f>Հարկեր!$E$2:$E$7</c:f>
              <c:numCache>
                <c:formatCode>#,##0.0;[Red]#,##0.0</c:formatCode>
                <c:ptCount val="6"/>
                <c:pt idx="0">
                  <c:v>289.8</c:v>
                </c:pt>
                <c:pt idx="1">
                  <c:v>54.4</c:v>
                </c:pt>
                <c:pt idx="2">
                  <c:v>87.9</c:v>
                </c:pt>
                <c:pt idx="3">
                  <c:v>248</c:v>
                </c:pt>
                <c:pt idx="4">
                  <c:v>52.2</c:v>
                </c:pt>
                <c:pt idx="5">
                  <c:v>2.6</c:v>
                </c:pt>
              </c:numCache>
            </c:numRef>
          </c:val>
        </c:ser>
        <c:dLbls>
          <c:showVal val="1"/>
        </c:dLbls>
        <c:overlap val="-25"/>
        <c:axId val="113428352"/>
        <c:axId val="113429888"/>
      </c:barChart>
      <c:catAx>
        <c:axId val="1134283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13429888"/>
        <c:crosses val="autoZero"/>
        <c:auto val="1"/>
        <c:lblAlgn val="ctr"/>
        <c:lblOffset val="100"/>
      </c:catAx>
      <c:valAx>
        <c:axId val="11342988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134283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7158389248036602"/>
          <c:y val="9.8424022875734873E-2"/>
          <c:w val="0.48163241026283277"/>
          <c:h val="7.1759033315723794E-2"/>
        </c:manualLayout>
      </c:layout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000" b="1">
                <a:latin typeface="GHEA Grapalat" pitchFamily="50" charset="0"/>
              </a:defRPr>
            </a:pPr>
            <a:r>
              <a:rPr lang="en-US" sz="1000" b="1">
                <a:latin typeface="GHEA Grapalat" pitchFamily="50" charset="0"/>
              </a:rPr>
              <a:t>մլրդ դրամ</a:t>
            </a:r>
          </a:p>
        </c:rich>
      </c:tx>
      <c:layout>
        <c:manualLayout>
          <c:xMode val="edge"/>
          <c:yMode val="edge"/>
          <c:x val="0.42316939890710381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'Հարկեր 2'!$B$1</c:f>
              <c:strCache>
                <c:ptCount val="1"/>
                <c:pt idx="0">
                  <c:v>2014թ.  </c:v>
                </c:pt>
              </c:strCache>
            </c:strRef>
          </c:tx>
          <c:dLbls>
            <c:txPr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'Հարկեր 2'!$A$2:$A$6</c:f>
              <c:strCache>
                <c:ptCount val="5"/>
                <c:pt idx="0">
                  <c:v>Բնօգտագործման եվ բնապահպանական վճարներ</c:v>
                </c:pt>
                <c:pt idx="1">
                  <c:v>Շրջանառության հարկ</c:v>
                </c:pt>
                <c:pt idx="2">
                  <c:v>Նպատակային սոցիալական վճարներ</c:v>
                </c:pt>
                <c:pt idx="3">
                  <c:v>Այլ հարկային եկամուտներ</c:v>
                </c:pt>
                <c:pt idx="4">
                  <c:v>Պետական տուրքեր</c:v>
                </c:pt>
              </c:strCache>
            </c:strRef>
          </c:cat>
          <c:val>
            <c:numRef>
              <c:f>'Հարկեր 2'!$B$2:$B$6</c:f>
              <c:numCache>
                <c:formatCode>General</c:formatCode>
                <c:ptCount val="5"/>
                <c:pt idx="0">
                  <c:v>20.100000000000001</c:v>
                </c:pt>
                <c:pt idx="1">
                  <c:v>11.8</c:v>
                </c:pt>
                <c:pt idx="2">
                  <c:v>1.1000000000000001</c:v>
                </c:pt>
                <c:pt idx="3">
                  <c:v>16</c:v>
                </c:pt>
                <c:pt idx="4" formatCode="#,##0.0;[Red]#,##0.0">
                  <c:v>25.5</c:v>
                </c:pt>
              </c:numCache>
            </c:numRef>
          </c:val>
        </c:ser>
        <c:ser>
          <c:idx val="1"/>
          <c:order val="1"/>
          <c:tx>
            <c:strRef>
              <c:f>'Հարկեր 2'!$C$1</c:f>
              <c:strCache>
                <c:ptCount val="1"/>
                <c:pt idx="0">
                  <c:v>2015թ.  </c:v>
                </c:pt>
              </c:strCache>
            </c:strRef>
          </c:tx>
          <c:dLbls>
            <c:txPr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'Հարկեր 2'!$A$2:$A$6</c:f>
              <c:strCache>
                <c:ptCount val="5"/>
                <c:pt idx="0">
                  <c:v>Բնօգտագործման եվ բնապահպանական վճարներ</c:v>
                </c:pt>
                <c:pt idx="1">
                  <c:v>Շրջանառության հարկ</c:v>
                </c:pt>
                <c:pt idx="2">
                  <c:v>Նպատակային սոցիալական վճարներ</c:v>
                </c:pt>
                <c:pt idx="3">
                  <c:v>Այլ հարկային եկամուտներ</c:v>
                </c:pt>
                <c:pt idx="4">
                  <c:v>Պետական տուրքեր</c:v>
                </c:pt>
              </c:strCache>
            </c:strRef>
          </c:cat>
          <c:val>
            <c:numRef>
              <c:f>'Հարկեր 2'!$C$2:$C$6</c:f>
              <c:numCache>
                <c:formatCode>General</c:formatCode>
                <c:ptCount val="5"/>
                <c:pt idx="0">
                  <c:v>23.4</c:v>
                </c:pt>
                <c:pt idx="1">
                  <c:v>8.2000000000000011</c:v>
                </c:pt>
                <c:pt idx="2">
                  <c:v>7.6</c:v>
                </c:pt>
                <c:pt idx="3">
                  <c:v>21.3</c:v>
                </c:pt>
                <c:pt idx="4" formatCode="#,##0.0;[Red]#,##0.0">
                  <c:v>24</c:v>
                </c:pt>
              </c:numCache>
            </c:numRef>
          </c:val>
        </c:ser>
        <c:ser>
          <c:idx val="2"/>
          <c:order val="2"/>
          <c:tx>
            <c:strRef>
              <c:f>'Հարկեր 2'!$D$1</c:f>
              <c:strCache>
                <c:ptCount val="1"/>
                <c:pt idx="0">
                  <c:v>2016թ.</c:v>
                </c:pt>
              </c:strCache>
            </c:strRef>
          </c:tx>
          <c:dLbls>
            <c:txPr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'Հարկեր 2'!$A$2:$A$6</c:f>
              <c:strCache>
                <c:ptCount val="5"/>
                <c:pt idx="0">
                  <c:v>Բնօգտագործման եվ բնապահպանական վճարներ</c:v>
                </c:pt>
                <c:pt idx="1">
                  <c:v>Շրջանառության հարկ</c:v>
                </c:pt>
                <c:pt idx="2">
                  <c:v>Նպատակային սոցիալական վճարներ</c:v>
                </c:pt>
                <c:pt idx="3">
                  <c:v>Այլ հարկային եկամուտներ</c:v>
                </c:pt>
                <c:pt idx="4">
                  <c:v>Պետական տուրքեր</c:v>
                </c:pt>
              </c:strCache>
            </c:strRef>
          </c:cat>
          <c:val>
            <c:numRef>
              <c:f>'Հարկեր 2'!$D$2:$D$6</c:f>
              <c:numCache>
                <c:formatCode>General</c:formatCode>
                <c:ptCount val="5"/>
                <c:pt idx="0">
                  <c:v>19.5</c:v>
                </c:pt>
                <c:pt idx="1">
                  <c:v>10.8</c:v>
                </c:pt>
                <c:pt idx="2">
                  <c:v>9.4</c:v>
                </c:pt>
                <c:pt idx="3">
                  <c:v>22.3</c:v>
                </c:pt>
                <c:pt idx="4" formatCode="#,##0.0;[Red]#,##0.0">
                  <c:v>24.3</c:v>
                </c:pt>
              </c:numCache>
            </c:numRef>
          </c:val>
        </c:ser>
        <c:ser>
          <c:idx val="3"/>
          <c:order val="3"/>
          <c:tx>
            <c:strRef>
              <c:f>'Հարկեր 2'!$E$1</c:f>
              <c:strCache>
                <c:ptCount val="1"/>
                <c:pt idx="0">
                  <c:v>2017թ. </c:v>
                </c:pt>
              </c:strCache>
            </c:strRef>
          </c:tx>
          <c:dLbls>
            <c:txPr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'Հարկեր 2'!$A$2:$A$6</c:f>
              <c:strCache>
                <c:ptCount val="5"/>
                <c:pt idx="0">
                  <c:v>Բնօգտագործման եվ բնապահպանական վճարներ</c:v>
                </c:pt>
                <c:pt idx="1">
                  <c:v>Շրջանառության հարկ</c:v>
                </c:pt>
                <c:pt idx="2">
                  <c:v>Նպատակային սոցիալական վճարներ</c:v>
                </c:pt>
                <c:pt idx="3">
                  <c:v>Այլ հարկային եկամուտներ</c:v>
                </c:pt>
                <c:pt idx="4">
                  <c:v>Պետական տուրքեր</c:v>
                </c:pt>
              </c:strCache>
            </c:strRef>
          </c:cat>
          <c:val>
            <c:numRef>
              <c:f>'Հարկեր 2'!$E$2:$E$6</c:f>
              <c:numCache>
                <c:formatCode>#,##0.0;[Red]#,##0.0</c:formatCode>
                <c:ptCount val="5"/>
                <c:pt idx="0">
                  <c:v>31.3</c:v>
                </c:pt>
                <c:pt idx="1">
                  <c:v>13</c:v>
                </c:pt>
                <c:pt idx="2">
                  <c:v>11.1</c:v>
                </c:pt>
                <c:pt idx="3">
                  <c:v>21.3</c:v>
                </c:pt>
                <c:pt idx="4">
                  <c:v>24.7</c:v>
                </c:pt>
              </c:numCache>
            </c:numRef>
          </c:val>
        </c:ser>
        <c:dLbls>
          <c:showVal val="1"/>
        </c:dLbls>
        <c:overlap val="-25"/>
        <c:axId val="114408832"/>
        <c:axId val="114422912"/>
      </c:barChart>
      <c:catAx>
        <c:axId val="11440883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14422912"/>
        <c:crosses val="autoZero"/>
        <c:auto val="1"/>
        <c:lblAlgn val="ctr"/>
        <c:lblOffset val="100"/>
      </c:catAx>
      <c:valAx>
        <c:axId val="114422912"/>
        <c:scaling>
          <c:orientation val="minMax"/>
        </c:scaling>
        <c:delete val="1"/>
        <c:axPos val="l"/>
        <c:numFmt formatCode="General" sourceLinked="1"/>
        <c:tickLblPos val="nextTo"/>
        <c:crossAx val="1144088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1571274902112658"/>
          <c:y val="9.3888888888888897E-2"/>
          <c:w val="0.56857428682070477"/>
          <c:h val="8.2548483522893054E-2"/>
        </c:manualLayout>
      </c:layout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/>
              <a:t>մլրդ դրամ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Այլ!$B$1</c:f>
              <c:strCache>
                <c:ptCount val="1"/>
                <c:pt idx="0">
                  <c:v>2014թ.</c:v>
                </c:pt>
              </c:strCache>
            </c:strRef>
          </c:tx>
          <c:dLbls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Այլ!$A$2:$A$4</c:f>
              <c:strCache>
                <c:ptCount val="3"/>
                <c:pt idx="0">
                  <c:v>ՊԱՇՏՈՆԱԿԱՆ ԴՐԱՄԱՇՆՈՐՀՆԵՐ</c:v>
                </c:pt>
                <c:pt idx="1">
                  <c:v>ԱՅԼ ԵԿԱՄՈՒՏՆԵՐ</c:v>
                </c:pt>
                <c:pt idx="2">
                  <c:v>ԱՐՏԱԲՅՈՒՋԵՏԱՅԻՆ ՄԻՋՈՑՆԵՐ-ԸՆԴԱՄԵՆԸ</c:v>
                </c:pt>
              </c:strCache>
            </c:strRef>
          </c:cat>
          <c:val>
            <c:numRef>
              <c:f>Այլ!$B$2:$B$4</c:f>
              <c:numCache>
                <c:formatCode>#,##0.0;[Red]#,##0.0</c:formatCode>
                <c:ptCount val="3"/>
                <c:pt idx="0">
                  <c:v>1.6</c:v>
                </c:pt>
                <c:pt idx="1">
                  <c:v>47.3</c:v>
                </c:pt>
                <c:pt idx="2" formatCode="0.0_);\(0.0\)">
                  <c:v>26.3</c:v>
                </c:pt>
              </c:numCache>
            </c:numRef>
          </c:val>
        </c:ser>
        <c:ser>
          <c:idx val="1"/>
          <c:order val="1"/>
          <c:tx>
            <c:strRef>
              <c:f>Այլ!$C$1</c:f>
              <c:strCache>
                <c:ptCount val="1"/>
                <c:pt idx="0">
                  <c:v>2015թ.  </c:v>
                </c:pt>
              </c:strCache>
            </c:strRef>
          </c:tx>
          <c:dLbls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Այլ!$A$2:$A$4</c:f>
              <c:strCache>
                <c:ptCount val="3"/>
                <c:pt idx="0">
                  <c:v>ՊԱՇՏՈՆԱԿԱՆ ԴՐԱՄԱՇՆՈՐՀՆԵՐ</c:v>
                </c:pt>
                <c:pt idx="1">
                  <c:v>ԱՅԼ ԵԿԱՄՈՒՏՆԵՐ</c:v>
                </c:pt>
                <c:pt idx="2">
                  <c:v>ԱՐՏԱԲՅՈՒՋԵՏԱՅԻՆ ՄԻՋՈՑՆԵՐ-ԸՆԴԱՄԵՆԸ</c:v>
                </c:pt>
              </c:strCache>
            </c:strRef>
          </c:cat>
          <c:val>
            <c:numRef>
              <c:f>Այլ!$C$2:$C$4</c:f>
              <c:numCache>
                <c:formatCode>#,##0.0;[Red]#,##0.0</c:formatCode>
                <c:ptCount val="3"/>
                <c:pt idx="0">
                  <c:v>4.2</c:v>
                </c:pt>
                <c:pt idx="1">
                  <c:v>51</c:v>
                </c:pt>
                <c:pt idx="2" formatCode="0.0_);\(0.0\)">
                  <c:v>26.6</c:v>
                </c:pt>
              </c:numCache>
            </c:numRef>
          </c:val>
        </c:ser>
        <c:ser>
          <c:idx val="2"/>
          <c:order val="2"/>
          <c:tx>
            <c:strRef>
              <c:f>Այլ!$D$1</c:f>
              <c:strCache>
                <c:ptCount val="1"/>
                <c:pt idx="0">
                  <c:v>2016թ. </c:v>
                </c:pt>
              </c:strCache>
            </c:strRef>
          </c:tx>
          <c:dLbls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Val val="1"/>
          </c:dLbls>
          <c:cat>
            <c:strRef>
              <c:f>Այլ!$A$2:$A$4</c:f>
              <c:strCache>
                <c:ptCount val="3"/>
                <c:pt idx="0">
                  <c:v>ՊԱՇՏՈՆԱԿԱՆ ԴՐԱՄԱՇՆՈՐՀՆԵՐ</c:v>
                </c:pt>
                <c:pt idx="1">
                  <c:v>ԱՅԼ ԵԿԱՄՈՒՏՆԵՐ</c:v>
                </c:pt>
                <c:pt idx="2">
                  <c:v>ԱՐՏԱԲՅՈՒՋԵՏԱՅԻՆ ՄԻՋՈՑՆԵՐ-ԸՆԴԱՄԵՆԸ</c:v>
                </c:pt>
              </c:strCache>
            </c:strRef>
          </c:cat>
          <c:val>
            <c:numRef>
              <c:f>Այլ!$D$2:$D$4</c:f>
              <c:numCache>
                <c:formatCode>#,##0.0;[Red]#,##0.0</c:formatCode>
                <c:ptCount val="3"/>
                <c:pt idx="0">
                  <c:v>6.6</c:v>
                </c:pt>
                <c:pt idx="1">
                  <c:v>41.9</c:v>
                </c:pt>
                <c:pt idx="2" formatCode="0.0_);\(0.0\)">
                  <c:v>22.6</c:v>
                </c:pt>
              </c:numCache>
            </c:numRef>
          </c:val>
        </c:ser>
        <c:ser>
          <c:idx val="3"/>
          <c:order val="3"/>
          <c:tx>
            <c:strRef>
              <c:f>Այլ!$E$1</c:f>
              <c:strCache>
                <c:ptCount val="1"/>
                <c:pt idx="0">
                  <c:v>2017թ. 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Val val="1"/>
          </c:dLbls>
          <c:cat>
            <c:strRef>
              <c:f>Այլ!$A$2:$A$4</c:f>
              <c:strCache>
                <c:ptCount val="3"/>
                <c:pt idx="0">
                  <c:v>ՊԱՇՏՈՆԱԿԱՆ ԴՐԱՄԱՇՆՈՐՀՆԵՐ</c:v>
                </c:pt>
                <c:pt idx="1">
                  <c:v>ԱՅԼ ԵԿԱՄՈՒՏՆԵՐ</c:v>
                </c:pt>
                <c:pt idx="2">
                  <c:v>ԱՐՏԱԲՅՈՒՋԵՏԱՅԻՆ ՄԻՋՈՑՆԵՐ-ԸՆԴԱՄԵՆԸ</c:v>
                </c:pt>
              </c:strCache>
            </c:strRef>
          </c:cat>
          <c:val>
            <c:numRef>
              <c:f>Այլ!$E$2:$E$4</c:f>
              <c:numCache>
                <c:formatCode>#,##0.0;[Red]#,##0.0</c:formatCode>
                <c:ptCount val="3"/>
                <c:pt idx="0">
                  <c:v>7.3</c:v>
                </c:pt>
                <c:pt idx="1">
                  <c:v>44.8</c:v>
                </c:pt>
                <c:pt idx="2" formatCode="0.0_);\(0.0\)">
                  <c:v>22.2</c:v>
                </c:pt>
              </c:numCache>
            </c:numRef>
          </c:val>
        </c:ser>
        <c:dLbls>
          <c:showVal val="1"/>
        </c:dLbls>
        <c:overlap val="-25"/>
        <c:axId val="114283264"/>
        <c:axId val="114284800"/>
      </c:barChart>
      <c:catAx>
        <c:axId val="1142832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700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14284800"/>
        <c:crosses val="autoZero"/>
        <c:auto val="1"/>
        <c:lblAlgn val="ctr"/>
        <c:lblOffset val="100"/>
      </c:catAx>
      <c:valAx>
        <c:axId val="114284800"/>
        <c:scaling>
          <c:orientation val="minMax"/>
        </c:scaling>
        <c:delete val="1"/>
        <c:axPos val="l"/>
        <c:numFmt formatCode="#,##0.0;[Red]#,##0.0" sourceLinked="1"/>
        <c:tickLblPos val="nextTo"/>
        <c:crossAx val="11428326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9.1008311461067373E-2"/>
          <c:y val="0.13092592592592592"/>
          <c:w val="0.7826837270341207"/>
          <c:h val="8.8644284047827468E-2"/>
        </c:manualLayout>
      </c:layout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2017-07-06T10:12:00Z</cp:lastPrinted>
  <dcterms:created xsi:type="dcterms:W3CDTF">2017-10-31T10:00:00Z</dcterms:created>
  <dcterms:modified xsi:type="dcterms:W3CDTF">2017-10-31T10:00:00Z</dcterms:modified>
</cp:coreProperties>
</file>